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00" w:lineRule="exact"/>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spacing w:line="9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安徽省2022年事业单位公开招聘</w:t>
      </w:r>
    </w:p>
    <w:p>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笔试考试大纲</w:t>
      </w:r>
      <w:bookmarkStart w:id="0" w:name="_Toc413416772"/>
    </w:p>
    <w:p>
      <w:pPr>
        <w:spacing w:line="600" w:lineRule="exact"/>
        <w:jc w:val="center"/>
        <w:rPr>
          <w:rFonts w:ascii="黑体" w:hAnsi="黑体" w:eastAsia="黑体"/>
        </w:rPr>
      </w:pPr>
      <w:bookmarkStart w:id="2" w:name="_GoBack"/>
      <w:bookmarkEnd w:id="2"/>
    </w:p>
    <w:p>
      <w:pPr>
        <w:spacing w:line="600" w:lineRule="exact"/>
        <w:ind w:firstLine="600" w:firstLineChars="200"/>
        <w:rPr>
          <w:rFonts w:ascii="黑体" w:hAnsi="黑体" w:eastAsia="黑体"/>
        </w:rPr>
      </w:pPr>
      <w:r>
        <w:rPr>
          <w:rFonts w:hint="eastAsia" w:ascii="黑体" w:hAnsi="黑体" w:eastAsia="黑体"/>
        </w:rPr>
        <w:t>一、《职业能力倾向测验》</w:t>
      </w:r>
      <w:bookmarkEnd w:id="0"/>
    </w:p>
    <w:p>
      <w:pPr>
        <w:spacing w:line="560" w:lineRule="exact"/>
        <w:ind w:firstLine="562" w:firstLineChars="200"/>
        <w:rPr>
          <w:rFonts w:ascii="楷体_GB2312" w:hAnsi="宋体" w:eastAsia="楷体_GB2312" w:cs="楷体"/>
          <w:b/>
          <w:sz w:val="28"/>
          <w:szCs w:val="28"/>
        </w:rPr>
      </w:pPr>
      <w:r>
        <w:rPr>
          <w:rFonts w:hint="eastAsia" w:ascii="楷体_GB2312" w:hAnsi="宋体" w:eastAsia="楷体_GB2312" w:cs="楷体"/>
          <w:b/>
          <w:sz w:val="28"/>
          <w:szCs w:val="28"/>
        </w:rPr>
        <w:t>（一）作答要求</w:t>
      </w:r>
    </w:p>
    <w:p>
      <w:pPr>
        <w:spacing w:line="560" w:lineRule="exact"/>
        <w:ind w:firstLine="560" w:firstLineChars="200"/>
        <w:rPr>
          <w:rFonts w:ascii="仿宋_GB2312" w:hAnsi="宋体"/>
          <w:sz w:val="28"/>
          <w:szCs w:val="28"/>
        </w:rPr>
      </w:pPr>
      <w:r>
        <w:rPr>
          <w:rFonts w:hint="eastAsia" w:ascii="仿宋_GB2312" w:hAnsi="宋体"/>
          <w:sz w:val="28"/>
          <w:szCs w:val="28"/>
        </w:rPr>
        <w:t>《职业能力倾向测验》考试时限9</w:t>
      </w:r>
      <w:r>
        <w:rPr>
          <w:rFonts w:ascii="仿宋_GB2312" w:hAnsi="宋体"/>
          <w:sz w:val="28"/>
          <w:szCs w:val="28"/>
        </w:rPr>
        <w:t>0分钟，满分1</w:t>
      </w:r>
      <w:r>
        <w:rPr>
          <w:rFonts w:hint="eastAsia" w:ascii="仿宋_GB2312" w:hAnsi="宋体"/>
          <w:sz w:val="28"/>
          <w:szCs w:val="28"/>
        </w:rPr>
        <w:t>5</w:t>
      </w:r>
      <w:r>
        <w:rPr>
          <w:rFonts w:ascii="仿宋_GB2312" w:hAnsi="宋体"/>
          <w:sz w:val="28"/>
          <w:szCs w:val="28"/>
        </w:rPr>
        <w:t>0分。</w:t>
      </w:r>
    </w:p>
    <w:p>
      <w:pPr>
        <w:spacing w:line="560" w:lineRule="exact"/>
        <w:ind w:firstLine="560" w:firstLineChars="200"/>
        <w:rPr>
          <w:rFonts w:ascii="仿宋_GB2312" w:hAnsi="宋体"/>
          <w:sz w:val="28"/>
          <w:szCs w:val="28"/>
        </w:rPr>
      </w:pPr>
      <w:r>
        <w:rPr>
          <w:rFonts w:hint="eastAsia" w:ascii="仿宋_GB2312" w:hAnsi="宋体"/>
          <w:sz w:val="28"/>
          <w:szCs w:val="28"/>
        </w:rPr>
        <w:t>报考者务必携带的考试文具包括黑色字迹的钢笔或签字笔、</w:t>
      </w:r>
      <w:r>
        <w:rPr>
          <w:rFonts w:ascii="仿宋_GB2312" w:hAnsi="宋体"/>
          <w:sz w:val="28"/>
          <w:szCs w:val="28"/>
        </w:rPr>
        <w:t>2B铅笔和橡皮等。</w:t>
      </w:r>
      <w:r>
        <w:rPr>
          <w:rFonts w:hint="eastAsia" w:ascii="仿宋_GB2312" w:hAnsi="宋体"/>
          <w:sz w:val="28"/>
          <w:szCs w:val="28"/>
        </w:rPr>
        <w:t>报考者必须用黑色字迹的钢笔或签字笔将自己的姓名和准考证号填写在试卷和答题卡上指定的位置，再用</w:t>
      </w:r>
      <w:r>
        <w:rPr>
          <w:rFonts w:ascii="仿宋_GB2312" w:hAnsi="宋体"/>
          <w:sz w:val="28"/>
          <w:szCs w:val="28"/>
        </w:rPr>
        <w:t>2B铅笔在答题卡指定位置上填涂准考证号。</w:t>
      </w:r>
      <w:r>
        <w:rPr>
          <w:rFonts w:hint="eastAsia" w:ascii="仿宋_GB2312" w:hAnsi="宋体"/>
          <w:sz w:val="28"/>
          <w:szCs w:val="28"/>
        </w:rPr>
        <w:t>作答时，必须用</w:t>
      </w:r>
      <w:r>
        <w:rPr>
          <w:rFonts w:ascii="仿宋_GB2312" w:hAnsi="宋体"/>
          <w:sz w:val="28"/>
          <w:szCs w:val="28"/>
        </w:rPr>
        <w:t>2B铅笔在答题卡上填涂自己选择的选项，在试题本或其他位置作答一律无效。</w:t>
      </w:r>
    </w:p>
    <w:p>
      <w:pPr>
        <w:spacing w:line="560" w:lineRule="exact"/>
        <w:ind w:firstLine="562" w:firstLineChars="200"/>
        <w:rPr>
          <w:rFonts w:ascii="楷体_GB2312" w:hAnsi="宋体" w:eastAsia="楷体_GB2312" w:cs="楷体"/>
          <w:b/>
          <w:sz w:val="28"/>
          <w:szCs w:val="28"/>
        </w:rPr>
      </w:pPr>
      <w:r>
        <w:rPr>
          <w:rFonts w:hint="eastAsia" w:ascii="楷体_GB2312" w:hAnsi="宋体" w:eastAsia="楷体_GB2312" w:cs="楷体"/>
          <w:b/>
          <w:sz w:val="28"/>
          <w:szCs w:val="28"/>
        </w:rPr>
        <w:t>（二）测查内容、题型介绍及示例</w:t>
      </w:r>
    </w:p>
    <w:p>
      <w:pPr>
        <w:spacing w:line="560" w:lineRule="exact"/>
        <w:ind w:firstLine="560" w:firstLineChars="200"/>
        <w:rPr>
          <w:rFonts w:ascii="仿宋_GB2312" w:hAnsi="宋体"/>
          <w:sz w:val="28"/>
          <w:szCs w:val="28"/>
        </w:rPr>
      </w:pPr>
      <w:r>
        <w:rPr>
          <w:rFonts w:hint="eastAsia" w:ascii="仿宋_GB2312" w:hAnsi="宋体"/>
          <w:sz w:val="28"/>
          <w:szCs w:val="28"/>
        </w:rPr>
        <w:t>《职业能力倾向测验》是针对事业单位公开招聘工作人员而设置的考试科目，主要测查应试人员从事工作密切相关的、适合通过客观化纸笔测验方式进行考查的基本素质和能力要素，包括常识判断、言语理解与表达、数量关系、判断推理和资料分析等部分。</w:t>
      </w:r>
    </w:p>
    <w:p>
      <w:pPr>
        <w:tabs>
          <w:tab w:val="left" w:pos="4200"/>
        </w:tabs>
        <w:spacing w:line="560" w:lineRule="exact"/>
        <w:ind w:firstLine="562" w:firstLineChars="200"/>
        <w:rPr>
          <w:rFonts w:ascii="仿宋_GB2312" w:cs="仿宋_GB2312"/>
          <w:b/>
          <w:bCs/>
          <w:sz w:val="28"/>
          <w:szCs w:val="28"/>
        </w:rPr>
      </w:pPr>
      <w:r>
        <w:rPr>
          <w:rFonts w:hint="eastAsia" w:ascii="仿宋_GB2312" w:cs="仿宋_GB2312"/>
          <w:b/>
          <w:bCs/>
          <w:sz w:val="28"/>
          <w:szCs w:val="28"/>
        </w:rPr>
        <w:t>1.常识判断</w:t>
      </w:r>
    </w:p>
    <w:p>
      <w:pPr>
        <w:spacing w:line="560" w:lineRule="exact"/>
        <w:ind w:firstLine="560" w:firstLineChars="200"/>
        <w:rPr>
          <w:rFonts w:ascii="仿宋_GB2312" w:hAnsi="宋体"/>
          <w:sz w:val="28"/>
          <w:szCs w:val="28"/>
        </w:rPr>
      </w:pPr>
      <w:r>
        <w:rPr>
          <w:rFonts w:hint="eastAsia" w:ascii="仿宋_GB2312" w:hAnsi="宋体"/>
          <w:sz w:val="28"/>
          <w:szCs w:val="28"/>
        </w:rPr>
        <w:t>主要测查应试人员应知应会的基本知识以及运用这些知识进行分析判断的基本能力，涉及国情、政治、经济、文化、法律、科技等方面。</w:t>
      </w:r>
    </w:p>
    <w:p>
      <w:pPr>
        <w:tabs>
          <w:tab w:val="left" w:pos="4200"/>
        </w:tabs>
        <w:spacing w:line="560" w:lineRule="exact"/>
        <w:rPr>
          <w:rFonts w:ascii="楷体_GB2312" w:eastAsia="楷体_GB2312"/>
          <w:b/>
          <w:bCs/>
          <w:sz w:val="28"/>
          <w:szCs w:val="28"/>
        </w:rPr>
      </w:pPr>
      <w:r>
        <w:rPr>
          <w:rFonts w:hint="eastAsia" w:ascii="楷体_GB2312" w:eastAsia="楷体_GB2312" w:cs="楷体_GB2312"/>
          <w:b/>
          <w:bCs/>
          <w:sz w:val="28"/>
          <w:szCs w:val="28"/>
        </w:rPr>
        <w:t>例题：</w:t>
      </w:r>
    </w:p>
    <w:p>
      <w:pPr>
        <w:tabs>
          <w:tab w:val="left" w:pos="4200"/>
        </w:tabs>
        <w:spacing w:line="560" w:lineRule="exact"/>
        <w:ind w:firstLine="560" w:firstLineChars="200"/>
        <w:rPr>
          <w:rFonts w:ascii="宋体" w:hAnsi="宋体"/>
          <w:sz w:val="28"/>
          <w:szCs w:val="28"/>
        </w:rPr>
      </w:pPr>
      <w:r>
        <w:rPr>
          <w:rFonts w:hint="eastAsia" w:ascii="宋体" w:hAnsi="宋体" w:cs="仿宋_GB2312"/>
          <w:sz w:val="28"/>
          <w:szCs w:val="28"/>
        </w:rPr>
        <w:t>甲单位招聘乙作为行政人员，下列哪一做法符合法律规定？</w:t>
      </w:r>
    </w:p>
    <w:p>
      <w:pPr>
        <w:tabs>
          <w:tab w:val="left" w:pos="4200"/>
        </w:tabs>
        <w:spacing w:line="560" w:lineRule="exact"/>
        <w:ind w:firstLine="560" w:firstLineChars="200"/>
        <w:rPr>
          <w:rFonts w:ascii="宋体" w:hAnsi="宋体"/>
          <w:sz w:val="28"/>
          <w:szCs w:val="28"/>
        </w:rPr>
      </w:pPr>
      <w:r>
        <w:rPr>
          <w:rFonts w:ascii="宋体" w:hAnsi="宋体"/>
          <w:sz w:val="28"/>
          <w:szCs w:val="28"/>
        </w:rPr>
        <w:t>A</w:t>
      </w:r>
      <w:r>
        <w:rPr>
          <w:rFonts w:hint="eastAsia" w:ascii="宋体" w:hAnsi="宋体" w:cs="仿宋_GB2312"/>
          <w:sz w:val="28"/>
          <w:szCs w:val="28"/>
        </w:rPr>
        <w:t>．甲单位在乙入职三个月后，与乙签订书面劳动合同</w:t>
      </w:r>
    </w:p>
    <w:p>
      <w:pPr>
        <w:tabs>
          <w:tab w:val="left" w:pos="4200"/>
        </w:tabs>
        <w:spacing w:line="560" w:lineRule="exact"/>
        <w:ind w:firstLine="560" w:firstLineChars="200"/>
        <w:rPr>
          <w:rFonts w:ascii="宋体" w:hAnsi="宋体"/>
          <w:sz w:val="28"/>
          <w:szCs w:val="28"/>
        </w:rPr>
      </w:pPr>
      <w:r>
        <w:rPr>
          <w:rFonts w:ascii="宋体" w:hAnsi="宋体"/>
          <w:sz w:val="28"/>
          <w:szCs w:val="28"/>
        </w:rPr>
        <w:t>B</w:t>
      </w:r>
      <w:r>
        <w:rPr>
          <w:rFonts w:hint="eastAsia" w:ascii="宋体" w:hAnsi="宋体" w:cs="仿宋_GB2312"/>
          <w:sz w:val="28"/>
          <w:szCs w:val="28"/>
        </w:rPr>
        <w:t>．甲单位与乙签订期限为两年的劳动合同，约定二个月试用期</w:t>
      </w:r>
    </w:p>
    <w:p>
      <w:pPr>
        <w:tabs>
          <w:tab w:val="left" w:pos="4200"/>
        </w:tabs>
        <w:spacing w:line="560" w:lineRule="exact"/>
        <w:ind w:firstLine="560" w:firstLineChars="200"/>
        <w:rPr>
          <w:rFonts w:ascii="宋体" w:hAnsi="宋体"/>
          <w:sz w:val="28"/>
          <w:szCs w:val="28"/>
        </w:rPr>
      </w:pPr>
      <w:r>
        <w:rPr>
          <w:rFonts w:ascii="宋体" w:hAnsi="宋体"/>
          <w:sz w:val="28"/>
          <w:szCs w:val="28"/>
        </w:rPr>
        <w:t>C</w:t>
      </w:r>
      <w:r>
        <w:rPr>
          <w:rFonts w:hint="eastAsia" w:ascii="宋体" w:hAnsi="宋体" w:cs="仿宋_GB2312"/>
          <w:sz w:val="28"/>
          <w:szCs w:val="28"/>
        </w:rPr>
        <w:t>．乙在试用期内的工资为劳动合同约定工资的百分之五十</w:t>
      </w:r>
    </w:p>
    <w:p>
      <w:pPr>
        <w:tabs>
          <w:tab w:val="left" w:pos="4200"/>
        </w:tabs>
        <w:spacing w:line="560" w:lineRule="exact"/>
        <w:ind w:firstLine="560" w:firstLineChars="200"/>
        <w:rPr>
          <w:rFonts w:ascii="宋体" w:hAnsi="宋体"/>
          <w:sz w:val="28"/>
          <w:szCs w:val="28"/>
        </w:rPr>
      </w:pPr>
      <w:r>
        <w:rPr>
          <w:rFonts w:ascii="宋体" w:hAnsi="宋体"/>
          <w:sz w:val="28"/>
          <w:szCs w:val="28"/>
        </w:rPr>
        <w:t>D</w:t>
      </w:r>
      <w:r>
        <w:rPr>
          <w:rFonts w:hint="eastAsia" w:ascii="宋体" w:hAnsi="宋体" w:cs="仿宋_GB2312"/>
          <w:sz w:val="28"/>
          <w:szCs w:val="28"/>
        </w:rPr>
        <w:t>．在试用期内，甲单位将乙解聘，未向乙说明理由</w:t>
      </w:r>
    </w:p>
    <w:p>
      <w:pPr>
        <w:tabs>
          <w:tab w:val="left" w:pos="4200"/>
        </w:tabs>
        <w:spacing w:line="560" w:lineRule="exact"/>
        <w:ind w:firstLine="560" w:firstLineChars="200"/>
        <w:rPr>
          <w:rFonts w:ascii="宋体" w:hAnsi="宋体"/>
          <w:sz w:val="28"/>
          <w:szCs w:val="28"/>
        </w:rPr>
      </w:pPr>
      <w:r>
        <w:rPr>
          <w:rFonts w:hint="eastAsia" w:ascii="宋体" w:hAnsi="宋体" w:cs="仿宋_GB2312"/>
          <w:sz w:val="28"/>
          <w:szCs w:val="28"/>
        </w:rPr>
        <w:t>答案：</w:t>
      </w:r>
      <w:r>
        <w:rPr>
          <w:rFonts w:ascii="宋体" w:hAnsi="宋体"/>
          <w:sz w:val="28"/>
          <w:szCs w:val="28"/>
        </w:rPr>
        <w:t>B</w:t>
      </w:r>
    </w:p>
    <w:p>
      <w:pPr>
        <w:tabs>
          <w:tab w:val="left" w:pos="4200"/>
        </w:tabs>
        <w:spacing w:line="560" w:lineRule="exact"/>
        <w:ind w:firstLine="551" w:firstLineChars="196"/>
        <w:rPr>
          <w:b/>
          <w:bCs/>
          <w:sz w:val="28"/>
          <w:szCs w:val="28"/>
        </w:rPr>
      </w:pPr>
      <w:r>
        <w:rPr>
          <w:rFonts w:hint="eastAsia" w:ascii="仿宋_GB2312" w:cs="仿宋_GB2312"/>
          <w:b/>
          <w:bCs/>
          <w:sz w:val="28"/>
          <w:szCs w:val="28"/>
        </w:rPr>
        <w:t>2.言语理解与表达</w:t>
      </w:r>
    </w:p>
    <w:p>
      <w:pPr>
        <w:spacing w:line="560" w:lineRule="exact"/>
        <w:ind w:firstLine="560" w:firstLineChars="200"/>
        <w:rPr>
          <w:rFonts w:ascii="仿宋_GB2312" w:hAnsi="宋体"/>
          <w:sz w:val="28"/>
          <w:szCs w:val="28"/>
        </w:rPr>
      </w:pPr>
      <w:r>
        <w:rPr>
          <w:rFonts w:hint="eastAsia" w:ascii="仿宋_GB2312" w:hAnsi="宋体"/>
          <w:sz w:val="28"/>
          <w:szCs w:val="28"/>
        </w:rPr>
        <w:t>主要测查应试人员准确理解和把握文字材料内涵、进行思考和交流的能力，包括理解语句之间的逻辑关系，概括材料主旨，把握主要信息及重要细节，准确和得体地遣词用字、表达观点等。</w:t>
      </w:r>
    </w:p>
    <w:p>
      <w:pPr>
        <w:tabs>
          <w:tab w:val="left" w:pos="4200"/>
        </w:tabs>
        <w:spacing w:line="560" w:lineRule="exact"/>
        <w:rPr>
          <w:rFonts w:ascii="楷体_GB2312" w:eastAsia="楷体_GB2312" w:cs="楷体_GB2312"/>
          <w:b/>
          <w:bCs/>
          <w:sz w:val="28"/>
          <w:szCs w:val="28"/>
        </w:rPr>
      </w:pPr>
      <w:r>
        <w:rPr>
          <w:rFonts w:hint="eastAsia" w:ascii="楷体_GB2312" w:eastAsia="楷体_GB2312" w:cs="楷体_GB2312"/>
          <w:b/>
          <w:bCs/>
          <w:sz w:val="28"/>
          <w:szCs w:val="28"/>
        </w:rPr>
        <w:t>例题</w:t>
      </w:r>
      <w:r>
        <w:rPr>
          <w:rFonts w:ascii="楷体_GB2312" w:eastAsia="楷体_GB2312" w:cs="楷体_GB2312"/>
          <w:b/>
          <w:bCs/>
          <w:sz w:val="28"/>
          <w:szCs w:val="28"/>
        </w:rPr>
        <w:t>1</w:t>
      </w:r>
      <w:r>
        <w:rPr>
          <w:rFonts w:hint="eastAsia" w:ascii="楷体_GB2312" w:eastAsia="楷体_GB2312" w:cs="楷体_GB2312"/>
          <w:b/>
          <w:bCs/>
          <w:sz w:val="28"/>
          <w:szCs w:val="28"/>
        </w:rPr>
        <w:t>：</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细节决定差异，但是，过早地</w:t>
      </w:r>
      <w:r>
        <w:rPr>
          <w:rFonts w:hint="eastAsia" w:ascii="宋体" w:hAnsi="宋体" w:cs="仿宋_GB2312"/>
          <w:sz w:val="28"/>
          <w:szCs w:val="28"/>
          <w:u w:val="single"/>
        </w:rPr>
        <w:t>______</w:t>
      </w:r>
      <w:r>
        <w:rPr>
          <w:rFonts w:hint="eastAsia" w:ascii="宋体" w:hAnsi="宋体" w:cs="仿宋_GB2312"/>
          <w:sz w:val="28"/>
          <w:szCs w:val="28"/>
        </w:rPr>
        <w:t>于细节，会使你迷失在不重要的事物中，所以首先要抓住基础，</w:t>
      </w:r>
      <w:r>
        <w:rPr>
          <w:rFonts w:hint="eastAsia" w:ascii="宋体" w:hAnsi="宋体" w:cs="仿宋_GB2312"/>
          <w:sz w:val="28"/>
          <w:szCs w:val="28"/>
          <w:u w:val="single"/>
        </w:rPr>
        <w:t>______</w:t>
      </w:r>
      <w:r>
        <w:rPr>
          <w:rFonts w:hint="eastAsia" w:ascii="宋体" w:hAnsi="宋体" w:cs="仿宋_GB2312"/>
          <w:sz w:val="28"/>
          <w:szCs w:val="28"/>
        </w:rPr>
        <w:t>细节。</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依次填入划横线部分最恰当的一项是：</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A</w:t>
      </w:r>
      <w:r>
        <w:rPr>
          <w:rFonts w:hint="eastAsia" w:ascii="宋体" w:hAnsi="宋体" w:cs="仿宋_GB2312"/>
          <w:sz w:val="28"/>
          <w:szCs w:val="28"/>
        </w:rPr>
        <w:t>．纠结   忽略</w:t>
      </w:r>
      <w:r>
        <w:rPr>
          <w:rFonts w:hint="eastAsia" w:ascii="宋体" w:hAnsi="宋体" w:cs="仿宋_GB2312"/>
          <w:sz w:val="28"/>
          <w:szCs w:val="28"/>
        </w:rPr>
        <w:tab/>
      </w:r>
      <w:r>
        <w:rPr>
          <w:rFonts w:ascii="宋体" w:hAnsi="宋体" w:cs="仿宋_GB2312"/>
          <w:sz w:val="28"/>
          <w:szCs w:val="28"/>
        </w:rPr>
        <w:t>B</w:t>
      </w:r>
      <w:r>
        <w:rPr>
          <w:rFonts w:hint="eastAsia" w:ascii="宋体" w:hAnsi="宋体" w:cs="仿宋_GB2312"/>
          <w:sz w:val="28"/>
          <w:szCs w:val="28"/>
        </w:rPr>
        <w:t>．沉溺   摒弃</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C</w:t>
      </w:r>
      <w:r>
        <w:rPr>
          <w:rFonts w:hint="eastAsia" w:ascii="宋体" w:hAnsi="宋体" w:cs="仿宋_GB2312"/>
          <w:sz w:val="28"/>
          <w:szCs w:val="28"/>
        </w:rPr>
        <w:t>．致力   考虑</w:t>
      </w:r>
      <w:r>
        <w:rPr>
          <w:rFonts w:hint="eastAsia" w:ascii="宋体" w:hAnsi="宋体" w:cs="仿宋_GB2312"/>
          <w:sz w:val="28"/>
          <w:szCs w:val="28"/>
        </w:rPr>
        <w:tab/>
      </w:r>
      <w:r>
        <w:rPr>
          <w:rFonts w:ascii="宋体" w:hAnsi="宋体" w:cs="仿宋_GB2312"/>
          <w:sz w:val="28"/>
          <w:szCs w:val="28"/>
        </w:rPr>
        <w:t>D</w:t>
      </w:r>
      <w:r>
        <w:rPr>
          <w:rFonts w:hint="eastAsia" w:ascii="宋体" w:hAnsi="宋体" w:cs="仿宋_GB2312"/>
          <w:sz w:val="28"/>
          <w:szCs w:val="28"/>
        </w:rPr>
        <w:t>．集中   发现</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答案：</w:t>
      </w:r>
      <w:r>
        <w:rPr>
          <w:rFonts w:ascii="宋体" w:hAnsi="宋体" w:cs="仿宋_GB2312"/>
          <w:sz w:val="28"/>
          <w:szCs w:val="28"/>
        </w:rPr>
        <w:t>A</w:t>
      </w:r>
    </w:p>
    <w:p>
      <w:pPr>
        <w:tabs>
          <w:tab w:val="left" w:pos="4200"/>
        </w:tabs>
        <w:spacing w:line="560" w:lineRule="exact"/>
        <w:rPr>
          <w:rFonts w:ascii="楷体_GB2312" w:eastAsia="楷体_GB2312" w:cs="楷体_GB2312"/>
          <w:b/>
          <w:bCs/>
          <w:sz w:val="28"/>
          <w:szCs w:val="28"/>
        </w:rPr>
      </w:pPr>
      <w:r>
        <w:rPr>
          <w:rFonts w:hint="eastAsia" w:ascii="楷体_GB2312" w:eastAsia="楷体_GB2312" w:cs="楷体_GB2312"/>
          <w:b/>
          <w:bCs/>
          <w:sz w:val="28"/>
          <w:szCs w:val="28"/>
        </w:rPr>
        <w:t>例题</w:t>
      </w:r>
      <w:r>
        <w:rPr>
          <w:rFonts w:ascii="楷体_GB2312" w:eastAsia="楷体_GB2312" w:cs="楷体_GB2312"/>
          <w:b/>
          <w:bCs/>
          <w:sz w:val="28"/>
          <w:szCs w:val="28"/>
        </w:rPr>
        <w:t>2</w:t>
      </w:r>
      <w:r>
        <w:rPr>
          <w:rFonts w:hint="eastAsia" w:ascii="楷体_GB2312" w:eastAsia="楷体_GB2312" w:cs="楷体_GB2312"/>
          <w:b/>
          <w:bCs/>
          <w:sz w:val="28"/>
          <w:szCs w:val="28"/>
        </w:rPr>
        <w:t>：</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管理学作为实践性最强的一门学科，是出现在案例之后的。只有具备真实性、典型性、多维性的案例，才能成为教学中研究讨论的优秀母本，由此而来的观点因为有扎实案例的支撑，也才具有生命力、说服力、参考价值。脱离了真实案例而来的任何管理高论都是在浪费公众宝贵的时间和热情。</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这段文字中“由此而来”的“此”指的是：</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A</w:t>
      </w:r>
      <w:r>
        <w:rPr>
          <w:rFonts w:hint="eastAsia" w:ascii="宋体" w:hAnsi="宋体" w:cs="仿宋_GB2312"/>
          <w:sz w:val="28"/>
          <w:szCs w:val="28"/>
        </w:rPr>
        <w:t>．案例</w:t>
      </w:r>
      <w:r>
        <w:rPr>
          <w:rFonts w:ascii="宋体" w:hAnsi="宋体" w:cs="仿宋_GB2312"/>
          <w:sz w:val="28"/>
          <w:szCs w:val="28"/>
        </w:rPr>
        <w:tab/>
      </w:r>
      <w:r>
        <w:rPr>
          <w:rFonts w:ascii="宋体" w:hAnsi="宋体" w:cs="仿宋_GB2312"/>
          <w:sz w:val="28"/>
          <w:szCs w:val="28"/>
        </w:rPr>
        <w:t>B</w:t>
      </w:r>
      <w:r>
        <w:rPr>
          <w:rFonts w:hint="eastAsia" w:ascii="宋体" w:hAnsi="宋体" w:cs="仿宋_GB2312"/>
          <w:sz w:val="28"/>
          <w:szCs w:val="28"/>
        </w:rPr>
        <w:t>．实践</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C</w:t>
      </w:r>
      <w:r>
        <w:rPr>
          <w:rFonts w:hint="eastAsia" w:ascii="宋体" w:hAnsi="宋体" w:cs="仿宋_GB2312"/>
          <w:sz w:val="28"/>
          <w:szCs w:val="28"/>
        </w:rPr>
        <w:t>．管理学</w:t>
      </w:r>
      <w:r>
        <w:rPr>
          <w:rFonts w:ascii="宋体" w:hAnsi="宋体" w:cs="仿宋_GB2312"/>
          <w:sz w:val="28"/>
          <w:szCs w:val="28"/>
        </w:rPr>
        <w:tab/>
      </w:r>
      <w:r>
        <w:rPr>
          <w:rFonts w:ascii="宋体" w:hAnsi="宋体" w:cs="仿宋_GB2312"/>
          <w:sz w:val="28"/>
          <w:szCs w:val="28"/>
        </w:rPr>
        <w:t>D</w:t>
      </w:r>
      <w:r>
        <w:rPr>
          <w:rFonts w:hint="eastAsia" w:ascii="宋体" w:hAnsi="宋体" w:cs="仿宋_GB2312"/>
          <w:sz w:val="28"/>
          <w:szCs w:val="28"/>
        </w:rPr>
        <w:t>．研究讨论</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答案：</w:t>
      </w:r>
      <w:r>
        <w:rPr>
          <w:rFonts w:ascii="宋体" w:hAnsi="宋体" w:cs="仿宋_GB2312"/>
          <w:sz w:val="28"/>
          <w:szCs w:val="28"/>
        </w:rPr>
        <w:t>A</w:t>
      </w:r>
    </w:p>
    <w:p>
      <w:pPr>
        <w:tabs>
          <w:tab w:val="left" w:pos="4200"/>
        </w:tabs>
        <w:spacing w:line="560" w:lineRule="exact"/>
        <w:ind w:firstLine="413" w:firstLineChars="147"/>
        <w:rPr>
          <w:b/>
          <w:bCs/>
          <w:sz w:val="28"/>
          <w:szCs w:val="28"/>
        </w:rPr>
      </w:pPr>
      <w:r>
        <w:rPr>
          <w:rFonts w:hint="eastAsia" w:ascii="仿宋_GB2312" w:cs="仿宋_GB2312"/>
          <w:b/>
          <w:bCs/>
          <w:sz w:val="28"/>
          <w:szCs w:val="28"/>
        </w:rPr>
        <w:t>3.</w:t>
      </w:r>
      <w:r>
        <w:rPr>
          <w:rFonts w:hint="eastAsia" w:cs="仿宋_GB2312"/>
          <w:b/>
          <w:bCs/>
          <w:sz w:val="28"/>
          <w:szCs w:val="28"/>
        </w:rPr>
        <w:t>数量关系</w:t>
      </w:r>
    </w:p>
    <w:p>
      <w:pPr>
        <w:spacing w:line="560" w:lineRule="exact"/>
        <w:ind w:firstLine="560" w:firstLineChars="200"/>
        <w:rPr>
          <w:rFonts w:ascii="仿宋_GB2312" w:hAnsi="宋体"/>
          <w:sz w:val="28"/>
          <w:szCs w:val="28"/>
        </w:rPr>
      </w:pPr>
      <w:r>
        <w:rPr>
          <w:rFonts w:hint="eastAsia" w:ascii="仿宋_GB2312" w:hAnsi="宋体"/>
          <w:sz w:val="28"/>
          <w:szCs w:val="28"/>
        </w:rPr>
        <w:t>主要测查应试人员理解、把握事物间量化关系和解决数量关系问题的能力，主要涉及数据关系的分析、运算和推断等。</w:t>
      </w:r>
    </w:p>
    <w:p>
      <w:pPr>
        <w:tabs>
          <w:tab w:val="left" w:pos="4200"/>
        </w:tabs>
        <w:spacing w:line="560" w:lineRule="exact"/>
        <w:rPr>
          <w:rFonts w:ascii="楷体_GB2312" w:eastAsia="楷体_GB2312" w:cs="楷体_GB2312"/>
          <w:b/>
          <w:bCs/>
          <w:sz w:val="28"/>
          <w:szCs w:val="28"/>
        </w:rPr>
      </w:pPr>
      <w:r>
        <w:rPr>
          <w:rFonts w:hint="eastAsia" w:ascii="楷体_GB2312" w:eastAsia="楷体_GB2312" w:cs="楷体_GB2312"/>
          <w:b/>
          <w:bCs/>
          <w:sz w:val="28"/>
          <w:szCs w:val="28"/>
        </w:rPr>
        <w:t>例题：</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某单位共有</w:t>
      </w:r>
      <w:r>
        <w:rPr>
          <w:rFonts w:ascii="宋体" w:hAnsi="宋体" w:cs="仿宋_GB2312"/>
          <w:sz w:val="28"/>
          <w:szCs w:val="28"/>
        </w:rPr>
        <w:t>160</w:t>
      </w:r>
      <w:r>
        <w:rPr>
          <w:rFonts w:hint="eastAsia" w:ascii="宋体" w:hAnsi="宋体" w:cs="仿宋_GB2312"/>
          <w:sz w:val="28"/>
          <w:szCs w:val="28"/>
        </w:rPr>
        <w:t>名员工，该单位在七月份的平均出勤率为</w:t>
      </w:r>
      <w:r>
        <w:rPr>
          <w:rFonts w:ascii="宋体" w:hAnsi="宋体" w:cs="仿宋_GB2312"/>
          <w:sz w:val="28"/>
          <w:szCs w:val="28"/>
        </w:rPr>
        <w:t>85%</w:t>
      </w:r>
      <w:r>
        <w:rPr>
          <w:rFonts w:hint="eastAsia" w:ascii="宋体" w:hAnsi="宋体" w:cs="仿宋_GB2312"/>
          <w:sz w:val="28"/>
          <w:szCs w:val="28"/>
        </w:rPr>
        <w:t>，其中女员工的平均出勤率为</w:t>
      </w:r>
      <w:r>
        <w:rPr>
          <w:rFonts w:ascii="宋体" w:hAnsi="宋体" w:cs="仿宋_GB2312"/>
          <w:sz w:val="28"/>
          <w:szCs w:val="28"/>
        </w:rPr>
        <w:t>90%</w:t>
      </w:r>
      <w:r>
        <w:rPr>
          <w:rFonts w:hint="eastAsia" w:ascii="宋体" w:hAnsi="宋体" w:cs="仿宋_GB2312"/>
          <w:sz w:val="28"/>
          <w:szCs w:val="28"/>
        </w:rPr>
        <w:t>，男员工的平均出勤率为</w:t>
      </w:r>
      <w:r>
        <w:rPr>
          <w:rFonts w:ascii="宋体" w:hAnsi="宋体" w:cs="仿宋_GB2312"/>
          <w:sz w:val="28"/>
          <w:szCs w:val="28"/>
        </w:rPr>
        <w:t>70%</w:t>
      </w:r>
      <w:r>
        <w:rPr>
          <w:rFonts w:hint="eastAsia" w:ascii="宋体" w:hAnsi="宋体" w:cs="仿宋_GB2312"/>
          <w:sz w:val="28"/>
          <w:szCs w:val="28"/>
        </w:rPr>
        <w:t>，问该单位共有男员工多少人？</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A</w:t>
      </w:r>
      <w:r>
        <w:rPr>
          <w:rFonts w:hint="eastAsia" w:ascii="宋体" w:hAnsi="宋体" w:cs="仿宋_GB2312"/>
          <w:sz w:val="28"/>
          <w:szCs w:val="28"/>
        </w:rPr>
        <w:t>．</w:t>
      </w:r>
      <w:r>
        <w:rPr>
          <w:rFonts w:ascii="宋体" w:hAnsi="宋体" w:cs="仿宋_GB2312"/>
          <w:sz w:val="28"/>
          <w:szCs w:val="28"/>
        </w:rPr>
        <w:t>40</w:t>
      </w:r>
      <w:r>
        <w:rPr>
          <w:rFonts w:ascii="宋体" w:hAnsi="宋体" w:cs="仿宋_GB2312"/>
          <w:sz w:val="28"/>
          <w:szCs w:val="28"/>
        </w:rPr>
        <w:tab/>
      </w:r>
      <w:r>
        <w:rPr>
          <w:rFonts w:ascii="宋体" w:hAnsi="宋体" w:cs="仿宋_GB2312"/>
          <w:sz w:val="28"/>
          <w:szCs w:val="28"/>
        </w:rPr>
        <w:t>B</w:t>
      </w:r>
      <w:r>
        <w:rPr>
          <w:rFonts w:hint="eastAsia" w:ascii="宋体" w:hAnsi="宋体" w:cs="仿宋_GB2312"/>
          <w:sz w:val="28"/>
          <w:szCs w:val="28"/>
        </w:rPr>
        <w:t>．</w:t>
      </w:r>
      <w:r>
        <w:rPr>
          <w:rFonts w:ascii="宋体" w:hAnsi="宋体" w:cs="仿宋_GB2312"/>
          <w:sz w:val="28"/>
          <w:szCs w:val="28"/>
        </w:rPr>
        <w:t>50</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C</w:t>
      </w:r>
      <w:r>
        <w:rPr>
          <w:rFonts w:hint="eastAsia" w:ascii="宋体" w:hAnsi="宋体" w:cs="仿宋_GB2312"/>
          <w:sz w:val="28"/>
          <w:szCs w:val="28"/>
        </w:rPr>
        <w:t>．</w:t>
      </w:r>
      <w:r>
        <w:rPr>
          <w:rFonts w:ascii="宋体" w:hAnsi="宋体" w:cs="仿宋_GB2312"/>
          <w:sz w:val="28"/>
          <w:szCs w:val="28"/>
        </w:rPr>
        <w:t>70</w:t>
      </w:r>
      <w:r>
        <w:rPr>
          <w:rFonts w:ascii="宋体" w:hAnsi="宋体" w:cs="仿宋_GB2312"/>
          <w:sz w:val="28"/>
          <w:szCs w:val="28"/>
        </w:rPr>
        <w:tab/>
      </w:r>
      <w:r>
        <w:rPr>
          <w:rFonts w:ascii="宋体" w:hAnsi="宋体" w:cs="仿宋_GB2312"/>
          <w:sz w:val="28"/>
          <w:szCs w:val="28"/>
        </w:rPr>
        <w:t>D</w:t>
      </w:r>
      <w:r>
        <w:rPr>
          <w:rFonts w:hint="eastAsia" w:ascii="宋体" w:hAnsi="宋体" w:cs="仿宋_GB2312"/>
          <w:sz w:val="28"/>
          <w:szCs w:val="28"/>
        </w:rPr>
        <w:t>．</w:t>
      </w:r>
      <w:r>
        <w:rPr>
          <w:rFonts w:ascii="宋体" w:hAnsi="宋体" w:cs="仿宋_GB2312"/>
          <w:sz w:val="28"/>
          <w:szCs w:val="28"/>
        </w:rPr>
        <w:t>120</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答案：</w:t>
      </w:r>
      <w:r>
        <w:rPr>
          <w:rFonts w:ascii="宋体" w:hAnsi="宋体" w:cs="仿宋_GB2312"/>
          <w:sz w:val="28"/>
          <w:szCs w:val="28"/>
        </w:rPr>
        <w:t>A</w:t>
      </w:r>
    </w:p>
    <w:p>
      <w:pPr>
        <w:tabs>
          <w:tab w:val="left" w:pos="4200"/>
        </w:tabs>
        <w:spacing w:line="560" w:lineRule="exact"/>
        <w:ind w:firstLine="562" w:firstLineChars="200"/>
        <w:rPr>
          <w:rFonts w:ascii="仿宋_GB2312"/>
          <w:b/>
          <w:bCs/>
          <w:sz w:val="28"/>
          <w:szCs w:val="28"/>
        </w:rPr>
      </w:pPr>
      <w:r>
        <w:rPr>
          <w:rFonts w:hint="eastAsia" w:ascii="仿宋_GB2312" w:cs="仿宋_GB2312"/>
          <w:b/>
          <w:bCs/>
          <w:sz w:val="28"/>
          <w:szCs w:val="28"/>
        </w:rPr>
        <w:t>4.判断推理</w:t>
      </w:r>
    </w:p>
    <w:p>
      <w:pPr>
        <w:spacing w:line="560" w:lineRule="exact"/>
        <w:ind w:firstLine="560" w:firstLineChars="200"/>
        <w:rPr>
          <w:rFonts w:ascii="仿宋_GB2312" w:hAnsi="宋体"/>
          <w:sz w:val="28"/>
          <w:szCs w:val="28"/>
        </w:rPr>
      </w:pPr>
      <w:r>
        <w:rPr>
          <w:rFonts w:hint="eastAsia" w:ascii="仿宋_GB2312" w:hAnsi="宋体"/>
          <w:sz w:val="28"/>
          <w:szCs w:val="28"/>
        </w:rPr>
        <w:t>主要测查应试人员对各种事物关系的分析推理能力，涉及对图形、语词概念、事物关系和文字材料的理解、比较、组合、演绎和归纳等。常见题型有图形推理、定义判断、类比推理、逻辑判断等。</w:t>
      </w:r>
    </w:p>
    <w:p>
      <w:pPr>
        <w:tabs>
          <w:tab w:val="left" w:pos="4200"/>
        </w:tabs>
        <w:spacing w:line="560" w:lineRule="exact"/>
        <w:ind w:firstLine="562" w:firstLineChars="200"/>
        <w:rPr>
          <w:b/>
          <w:bCs/>
          <w:sz w:val="28"/>
          <w:szCs w:val="28"/>
        </w:rPr>
      </w:pPr>
      <w:r>
        <w:rPr>
          <w:rFonts w:hint="eastAsia" w:cs="仿宋_GB2312"/>
          <w:b/>
          <w:bCs/>
          <w:sz w:val="28"/>
          <w:szCs w:val="28"/>
        </w:rPr>
        <w:t>题型一：图形推理</w:t>
      </w:r>
    </w:p>
    <w:p>
      <w:pPr>
        <w:spacing w:line="560" w:lineRule="exact"/>
        <w:ind w:firstLine="560" w:firstLineChars="200"/>
        <w:rPr>
          <w:rFonts w:ascii="仿宋_GB2312" w:hAnsi="宋体"/>
          <w:sz w:val="28"/>
          <w:szCs w:val="28"/>
        </w:rPr>
      </w:pPr>
      <w:r>
        <w:rPr>
          <w:rFonts w:hint="eastAsia" w:ascii="仿宋_GB2312" w:hAnsi="宋体"/>
          <w:sz w:val="28"/>
          <w:szCs w:val="28"/>
        </w:rPr>
        <w:t>每道题给出一套或两套图形，要求应试人员通过观察分析，找出图形排列的规律，选出符合规律的一项。</w:t>
      </w:r>
    </w:p>
    <w:p>
      <w:pPr>
        <w:tabs>
          <w:tab w:val="left" w:pos="4200"/>
        </w:tabs>
        <w:rPr>
          <w:rFonts w:ascii="楷体_GB2312" w:eastAsia="楷体_GB2312" w:cs="楷体_GB2312"/>
          <w:b/>
          <w:bCs/>
          <w:sz w:val="28"/>
          <w:szCs w:val="28"/>
        </w:rPr>
      </w:pPr>
      <w:r>
        <w:rPr>
          <w:rFonts w:hint="eastAsia" w:ascii="楷体_GB2312" w:eastAsia="楷体_GB2312" w:cs="楷体_GB2312"/>
          <w:b/>
          <w:bCs/>
          <w:sz w:val="28"/>
          <w:szCs w:val="28"/>
        </w:rPr>
        <w:t>例题：</w:t>
      </w:r>
    </w:p>
    <w:p>
      <w:pPr>
        <w:tabs>
          <w:tab w:val="left" w:pos="4200"/>
        </w:tabs>
        <w:spacing w:line="440" w:lineRule="exact"/>
        <w:rPr>
          <w:sz w:val="24"/>
          <w:szCs w:val="24"/>
        </w:rPr>
      </w:pPr>
      <w:r>
        <w:pict>
          <v:group id="_x0000_s1039" o:spid="_x0000_s1039" o:spt="203" style="position:absolute;left:0pt;margin-left:39pt;margin-top:3pt;height:88pt;width:303.1pt;z-index:251659264;mso-width-relative:page;mso-height-relative:page;" coordorigin="2394,4654" coordsize="6062,1760">
            <o:lock v:ext="edit"/>
            <v:group id="_x0000_s1040" o:spid="_x0000_s1040" o:spt="203" style="position:absolute;left:2394;top:4654;height:820;width:2876;" coordorigin="2394,4654" coordsize="2876,820">
              <o:lock v:ext="edit"/>
              <v:rect id="_x0000_s1041" o:spid="_x0000_s1041" o:spt="1" style="position:absolute;left:2394;top:4654;height:820;width:2876;" coordsize="21600,21600">
                <v:path/>
                <v:fill focussize="0,0"/>
                <v:stroke/>
                <v:imagedata o:title=""/>
                <o:lock v:ext="edit"/>
                <v:textbox>
                  <w:txbxContent>
                    <w:p/>
                  </w:txbxContent>
                </v:textbox>
              </v:rect>
              <v:group id="_x0000_s1042" o:spid="_x0000_s1042" o:spt="203" style="position:absolute;left:2634;top:4834;height:500;width:542;" coordorigin="2019,6284" coordsize="600,574">
                <o:lock v:ext="edit"/>
                <v:group id="_x0000_s1043" o:spid="_x0000_s1043" o:spt="203" style="position:absolute;left:2019;top:6284;height:290;width:300;" coordorigin="1999,6278" coordsize="300,290">
                  <o:lock v:ext="edit"/>
                  <v:rect id="_x0000_s1044" o:spid="_x0000_s1044" o:spt="1" style="position:absolute;left:1999;top:6428;flip:y;height:140;width:300;" fillcolor="#000000" filled="t" coordsize="21600,21600">
                    <v:path/>
                    <v:fill on="t" focussize="0,0"/>
                    <v:stroke/>
                    <v:imagedata o:title=""/>
                    <o:lock v:ext="edit"/>
                    <v:textbox>
                      <w:txbxContent>
                        <w:p/>
                      </w:txbxContent>
                    </v:textbox>
                  </v:rect>
                  <v:rect id="_x0000_s1045" o:spid="_x0000_s1045" o:spt="1" style="position:absolute;left:1999;top:6278;flip:y;height:140;width:300;" coordsize="21600,21600">
                    <v:path/>
                    <v:fill focussize="0,0"/>
                    <v:stroke/>
                    <v:imagedata o:title=""/>
                    <o:lock v:ext="edit"/>
                    <v:textbox>
                      <w:txbxContent>
                        <w:p/>
                      </w:txbxContent>
                    </v:textbox>
                  </v:rect>
                </v:group>
                <v:rect id="_x0000_s1046" o:spid="_x0000_s1046" o:spt="1" style="position:absolute;left:2319;top:6568;height:140;width:300;" fillcolor="#000000" filled="t" coordsize="21600,21600">
                  <v:path/>
                  <v:fill on="t" focussize="0,0"/>
                  <v:stroke/>
                  <v:imagedata o:title=""/>
                  <o:lock v:ext="edit"/>
                  <v:textbox>
                    <w:txbxContent>
                      <w:p/>
                    </w:txbxContent>
                  </v:textbox>
                </v:rect>
                <v:rect id="_x0000_s1047" o:spid="_x0000_s1047" o:spt="1" style="position:absolute;left:2319;top:6718;height:140;width:300;" coordsize="21600,21600">
                  <v:path/>
                  <v:fill focussize="0,0"/>
                  <v:stroke/>
                  <v:imagedata o:title=""/>
                  <o:lock v:ext="edit"/>
                  <v:textbox>
                    <w:txbxContent>
                      <w:p/>
                    </w:txbxContent>
                  </v:textbox>
                </v:rect>
              </v:group>
              <v:group id="_x0000_s1048" o:spid="_x0000_s1048" o:spt="203" style="position:absolute;left:3572;top:4924;height:253;width:566;" coordorigin="2954,10454" coordsize="600,400">
                <o:lock v:ext="edit"/>
                <v:rect id="_x0000_s1049" o:spid="_x0000_s1049" o:spt="1" style="position:absolute;left:2954;top:10661;flip:y;height:193;width:300;" fillcolor="#000000" filled="t" coordsize="21600,21600">
                  <v:path/>
                  <v:fill on="t" focussize="0,0"/>
                  <v:stroke/>
                  <v:imagedata o:title=""/>
                  <o:lock v:ext="edit"/>
                  <v:textbox>
                    <w:txbxContent>
                      <w:p/>
                    </w:txbxContent>
                  </v:textbox>
                </v:rect>
                <v:rect id="_x0000_s1050" o:spid="_x0000_s1050" o:spt="1" style="position:absolute;left:2954;top:10454;flip:y;height:193;width:300;" coordsize="21600,21600">
                  <v:path/>
                  <v:fill focussize="0,0"/>
                  <v:stroke/>
                  <v:imagedata o:title=""/>
                  <o:lock v:ext="edit"/>
                  <v:textbox>
                    <w:txbxContent>
                      <w:p/>
                    </w:txbxContent>
                  </v:textbox>
                </v:rect>
                <v:rect id="_x0000_s1051" o:spid="_x0000_s1051" o:spt="1" style="position:absolute;left:3254;top:10454;height:193;width:300;" fillcolor="#000000" filled="t" coordsize="21600,21600">
                  <v:path/>
                  <v:fill on="t" focussize="0,0"/>
                  <v:stroke/>
                  <v:imagedata o:title=""/>
                  <o:lock v:ext="edit"/>
                  <v:textbox>
                    <w:txbxContent>
                      <w:p/>
                    </w:txbxContent>
                  </v:textbox>
                </v:rect>
                <v:rect id="_x0000_s1052" o:spid="_x0000_s1052" o:spt="1" style="position:absolute;left:3254;top:10661;height:193;width:300;" coordsize="21600,21600">
                  <v:path/>
                  <v:fill focussize="0,0"/>
                  <v:stroke/>
                  <v:imagedata o:title=""/>
                  <o:lock v:ext="edit"/>
                  <v:textbox>
                    <w:txbxContent>
                      <w:p/>
                    </w:txbxContent>
                  </v:textbox>
                </v:rect>
              </v:group>
              <v:group id="_x0000_s1053" o:spid="_x0000_s1053" o:spt="203" style="position:absolute;left:4438;top:4795;height:520;width:543;" coordorigin="4314,10394" coordsize="600,780">
                <o:lock v:ext="edit"/>
                <v:rect id="_x0000_s1054" o:spid="_x0000_s1054" o:spt="1" style="position:absolute;left:4314;top:10981;flip:y;height:193;width:300;" fillcolor="#000000" filled="t" coordsize="21600,21600">
                  <v:path/>
                  <v:fill on="t" focussize="0,0"/>
                  <v:stroke/>
                  <v:imagedata o:title=""/>
                  <o:lock v:ext="edit"/>
                  <v:textbox>
                    <w:txbxContent>
                      <w:p/>
                    </w:txbxContent>
                  </v:textbox>
                </v:rect>
                <v:rect id="_x0000_s1055" o:spid="_x0000_s1055" o:spt="1" style="position:absolute;left:4314;top:10774;flip:y;height:193;width:300;" coordsize="21600,21600">
                  <v:path/>
                  <v:fill focussize="0,0"/>
                  <v:stroke/>
                  <v:imagedata o:title=""/>
                  <o:lock v:ext="edit"/>
                  <v:textbox>
                    <w:txbxContent>
                      <w:p/>
                    </w:txbxContent>
                  </v:textbox>
                </v:rect>
                <v:rect id="_x0000_s1056" o:spid="_x0000_s1056" o:spt="1" style="position:absolute;left:4614;top:10394;height:193;width:300;" fillcolor="#000000" filled="t" coordsize="21600,21600">
                  <v:path/>
                  <v:fill on="t" focussize="0,0"/>
                  <v:stroke/>
                  <v:imagedata o:title=""/>
                  <o:lock v:ext="edit"/>
                  <v:textbox>
                    <w:txbxContent>
                      <w:p/>
                    </w:txbxContent>
                  </v:textbox>
                </v:rect>
                <v:rect id="_x0000_s1057" o:spid="_x0000_s1057" o:spt="1" style="position:absolute;left:4614;top:10601;height:193;width:300;" coordsize="21600,21600">
                  <v:path/>
                  <v:fill focussize="0,0"/>
                  <v:stroke/>
                  <v:imagedata o:title=""/>
                  <o:lock v:ext="edit"/>
                  <v:textbox>
                    <w:txbxContent>
                      <w:p/>
                    </w:txbxContent>
                  </v:textbox>
                </v:rect>
              </v:group>
            </v:group>
            <v:group id="_x0000_s1058" o:spid="_x0000_s1058" o:spt="203" style="position:absolute;left:3324;top:5540;height:874;width:4047;" coordorigin="2782,7094" coordsize="4475,1002">
              <o:lock v:ext="edit"/>
              <v:rect id="_x0000_s1059" o:spid="_x0000_s1059" o:spt="1" style="position:absolute;left:2782;top:7094;height:1002;width:4475;" coordsize="21600,21600">
                <v:path/>
                <v:fill focussize="0,0"/>
                <v:stroke/>
                <v:imagedata o:title=""/>
                <o:lock v:ext="edit"/>
                <v:textbox>
                  <w:txbxContent>
                    <w:p/>
                  </w:txbxContent>
                </v:textbox>
              </v:rect>
              <v:group id="_x0000_s1060" o:spid="_x0000_s1060" o:spt="203" style="position:absolute;left:3138;top:7248;height:773;width:3650;" coordorigin="3138,7248" coordsize="3650,773">
                <o:lock v:ext="edit"/>
                <v:group id="_x0000_s1061" o:spid="_x0000_s1061" o:spt="203" style="position:absolute;left:4160;top:7264;height:756;width:560;" coordsize="0,0">
                  <o:lock v:ext="edit"/>
                  <v:shape id="_x0000_s1062" o:spid="_x0000_s1062" o:spt="6" type="#_x0000_t6" style="position:absolute;left:4194;top:12294;flip:x;height:500;width:280;" fillcolor="#000000" filled="t" coordsize="21600,21600">
                    <v:path/>
                    <v:fill on="t" focussize="0,0"/>
                    <v:stroke joinstyle="miter"/>
                    <v:imagedata o:title=""/>
                    <o:lock v:ext="edit"/>
                    <v:textbox>
                      <w:txbxContent>
                        <w:p/>
                      </w:txbxContent>
                    </v:textbox>
                  </v:shape>
                  <v:shape id="_x0000_s1063" o:spid="_x0000_s1063" o:spt="6" type="#_x0000_t6" style="position:absolute;left:4474;top:11794;height:500;width:280;" fillcolor="#000000" filled="t" coordsize="21600,21600">
                    <v:path/>
                    <v:fill on="t" focussize="0,0"/>
                    <v:stroke joinstyle="miter"/>
                    <v:imagedata o:title=""/>
                    <o:lock v:ext="edit"/>
                    <v:textbox>
                      <w:txbxContent>
                        <w:p/>
                      </w:txbxContent>
                    </v:textbox>
                  </v:shape>
                </v:group>
                <v:group id="_x0000_s1064" o:spid="_x0000_s1064" o:spt="203" style="position:absolute;left:3138;top:7264;height:757;width:560;" coordsize="0,0">
                  <o:lock v:ext="edit"/>
                  <v:shape id="_x0000_s1065" o:spid="_x0000_s1065" o:spt="6" type="#_x0000_t6" style="position:absolute;left:3454;top:11754;height:500;width:280;" fillcolor="#000000" filled="t" coordsize="21600,21600">
                    <v:path/>
                    <v:fill on="t" focussize="0,0"/>
                    <v:stroke joinstyle="miter"/>
                    <v:imagedata o:title=""/>
                    <o:lock v:ext="edit"/>
                    <v:textbox>
                      <w:txbxContent>
                        <w:p/>
                      </w:txbxContent>
                    </v:textbox>
                  </v:shape>
                  <v:shape id="_x0000_s1066" o:spid="_x0000_s1066" o:spt="6" type="#_x0000_t6" style="position:absolute;left:3174;top:12254;flip:x y;height:500;width:280;" fillcolor="#000000" filled="t" coordsize="21600,21600">
                    <v:path/>
                    <v:fill on="t" focussize="0,0"/>
                    <v:stroke joinstyle="miter"/>
                    <v:imagedata o:title=""/>
                    <o:lock v:ext="edit"/>
                    <v:textbox>
                      <w:txbxContent>
                        <w:p/>
                      </w:txbxContent>
                    </v:textbox>
                  </v:shape>
                </v:group>
                <v:group id="_x0000_s1067" o:spid="_x0000_s1067" o:spt="203" style="position:absolute;left:6248;top:7248;height:757;width:540;" coordsize="0,0">
                  <o:lock v:ext="edit"/>
                  <v:shape id="_x0000_s1068" o:spid="_x0000_s1068" o:spt="6" type="#_x0000_t6" style="position:absolute;left:6814;top:11614;flip:x;height:500;width:280;" fillcolor="#000000" filled="t" coordsize="21600,21600">
                    <v:path/>
                    <v:fill on="t" focussize="0,0"/>
                    <v:stroke joinstyle="miter"/>
                    <v:imagedata o:title=""/>
                    <o:lock v:ext="edit"/>
                    <v:textbox>
                      <w:txbxContent>
                        <w:p/>
                      </w:txbxContent>
                    </v:textbox>
                  </v:shape>
                  <v:shape id="_x0000_s1069" o:spid="_x0000_s1069" o:spt="6" type="#_x0000_t6" style="position:absolute;left:7074;top:12114;height:500;width:280;" fillcolor="#000000" filled="t" coordsize="21600,21600">
                    <v:path/>
                    <v:fill on="t" focussize="0,0"/>
                    <v:stroke joinstyle="miter"/>
                    <v:imagedata o:title=""/>
                    <o:lock v:ext="edit"/>
                    <v:textbox>
                      <w:txbxContent>
                        <w:p/>
                      </w:txbxContent>
                    </v:textbox>
                  </v:shape>
                </v:group>
                <v:group id="_x0000_s1070" o:spid="_x0000_s1070" o:spt="203" style="position:absolute;left:5214;top:7264;height:741;width:540;" coordorigin="5814,11674" coordsize="540,980">
                  <o:lock v:ext="edit"/>
                  <v:shape id="_x0000_s1071" o:spid="_x0000_s1071" o:spt="6" type="#_x0000_t6" style="position:absolute;left:5814;top:12154;flip:x;height:500;width:280;" fillcolor="#000000" filled="t" coordsize="21600,21600">
                    <v:path/>
                    <v:fill on="t" focussize="0,0"/>
                    <v:stroke joinstyle="miter"/>
                    <v:imagedata o:title=""/>
                    <o:lock v:ext="edit"/>
                    <v:textbox>
                      <w:txbxContent>
                        <w:p/>
                      </w:txbxContent>
                    </v:textbox>
                  </v:shape>
                  <v:shape id="_x0000_s1072" o:spid="_x0000_s1072" o:spt="6" type="#_x0000_t6" style="position:absolute;left:6074;top:11674;flip:y;height:500;width:280;" fillcolor="#000000" filled="t" coordsize="21600,21600">
                    <v:path/>
                    <v:fill on="t" focussize="0,0"/>
                    <v:stroke joinstyle="miter"/>
                    <v:imagedata o:title=""/>
                    <o:lock v:ext="edit"/>
                    <v:textbox>
                      <w:txbxContent>
                        <w:p/>
                      </w:txbxContent>
                    </v:textbox>
                  </v:shape>
                </v:group>
              </v:group>
            </v:group>
            <v:group id="_x0000_s1073" o:spid="_x0000_s1073" o:spt="203" style="position:absolute;left:5379;top:4654;height:820;width:3077;" coordorigin="5379,4654" coordsize="3077,820">
              <o:lock v:ext="edit"/>
              <v:rect id="_x0000_s1074" o:spid="_x0000_s1074" o:spt="1" style="position:absolute;left:5379;top:4654;height:820;width:3077;" coordsize="21600,21600">
                <v:path/>
                <v:fill focussize="0,0"/>
                <v:stroke/>
                <v:imagedata o:title=""/>
                <o:lock v:ext="edit"/>
                <v:textbox>
                  <w:txbxContent>
                    <w:p/>
                  </w:txbxContent>
                </v:textbox>
              </v:rect>
              <v:group id="_x0000_s1075" o:spid="_x0000_s1075" o:spt="203" style="position:absolute;left:5672;top:4730;height:645;width:452;" coordsize="0,0">
                <o:lock v:ext="edit"/>
                <v:shape id="_x0000_s1076" o:spid="_x0000_s1076" o:spt="6" type="#_x0000_t6" style="position:absolute;left:6734;top:10334;flip:x;height:500;width:280;" fillcolor="#000000" filled="t" coordsize="21600,21600">
                  <v:path/>
                  <v:fill on="t" focussize="0,0"/>
                  <v:stroke joinstyle="miter"/>
                  <v:imagedata o:title=""/>
                  <o:lock v:ext="edit"/>
                  <v:textbox>
                    <w:txbxContent>
                      <w:p/>
                    </w:txbxContent>
                  </v:textbox>
                </v:shape>
                <v:shape id="_x0000_s1077" o:spid="_x0000_s1077" o:spt="6" type="#_x0000_t6" style="position:absolute;left:7014;top:10834;flip:y;height:500;width:280;" fillcolor="#000000" filled="t" coordsize="21600,21600">
                  <v:path/>
                  <v:fill on="t" focussize="0,0"/>
                  <v:stroke joinstyle="miter"/>
                  <v:imagedata o:title=""/>
                  <o:lock v:ext="edit"/>
                  <v:textbox>
                    <w:txbxContent>
                      <w:p/>
                    </w:txbxContent>
                  </v:textbox>
                </v:shape>
              </v:group>
              <v:group id="_x0000_s1078" o:spid="_x0000_s1078" o:spt="203" style="position:absolute;left:6694;top:4924;height:345;width:459;" coordorigin="6174,6405" coordsize="560,500">
                <o:lock v:ext="edit"/>
                <v:shape id="_x0000_s1079" o:spid="_x0000_s1079" o:spt="6" type="#_x0000_t6" style="position:absolute;left:6174;top:6405;flip:x;height:500;width:280;" fillcolor="#000000" filled="t" coordsize="21600,21600">
                  <v:path/>
                  <v:fill on="t" focussize="0,0"/>
                  <v:stroke joinstyle="miter"/>
                  <v:imagedata o:title=""/>
                  <o:lock v:ext="edit"/>
                  <v:textbox>
                    <w:txbxContent>
                      <w:p/>
                    </w:txbxContent>
                  </v:textbox>
                </v:shape>
                <v:shape id="_x0000_s1080" o:spid="_x0000_s1080" o:spt="6" type="#_x0000_t6" style="position:absolute;left:6454;top:6405;flip:y;height:500;width:280;" fillcolor="#000000" filled="t" coordsize="21600,21600">
                  <v:path/>
                  <v:fill on="t" focussize="0,0"/>
                  <v:stroke joinstyle="miter"/>
                  <v:imagedata o:title=""/>
                  <o:lock v:ext="edit"/>
                  <v:textbox>
                    <w:txbxContent>
                      <w:p/>
                    </w:txbxContent>
                  </v:textbox>
                </v:shape>
              </v:group>
              <v:shape id="_x0000_s1081" o:spid="_x0000_s1081" o:spt="202" type="#_x0000_t202" style="position:absolute;left:7586;top:4747;height:628;width:452;" stroked="t" coordsize="21600,21600">
                <v:path/>
                <v:fill focussize="0,0"/>
                <v:stroke color="#FFFFFF" joinstyle="miter"/>
                <v:imagedata o:title=""/>
                <o:lock v:ext="edit"/>
                <v:textbox>
                  <w:txbxContent>
                    <w:p>
                      <w:pPr>
                        <w:rPr>
                          <w:rFonts w:ascii="New Century Schoolbook" w:hAnsi="New Century Schoolbook" w:eastAsia="黑体"/>
                          <w:sz w:val="44"/>
                          <w:szCs w:val="44"/>
                        </w:rPr>
                      </w:pPr>
                      <w:r>
                        <w:rPr>
                          <w:rFonts w:ascii="New Century Schoolbook" w:hAnsi="New Century Schoolbook" w:eastAsia="黑体"/>
                          <w:sz w:val="44"/>
                          <w:szCs w:val="44"/>
                        </w:rPr>
                        <w:t>?</w:t>
                      </w:r>
                    </w:p>
                  </w:txbxContent>
                </v:textbox>
              </v:shape>
            </v:group>
          </v:group>
        </w:pict>
      </w:r>
    </w:p>
    <w:p>
      <w:pPr>
        <w:tabs>
          <w:tab w:val="left" w:pos="4200"/>
        </w:tabs>
        <w:spacing w:line="440" w:lineRule="exact"/>
        <w:rPr>
          <w:sz w:val="24"/>
          <w:szCs w:val="24"/>
        </w:rPr>
      </w:pPr>
    </w:p>
    <w:p>
      <w:pPr>
        <w:tabs>
          <w:tab w:val="left" w:pos="4200"/>
        </w:tabs>
        <w:spacing w:line="440" w:lineRule="exact"/>
        <w:rPr>
          <w:sz w:val="24"/>
          <w:szCs w:val="24"/>
        </w:rPr>
      </w:pPr>
    </w:p>
    <w:p>
      <w:pPr>
        <w:tabs>
          <w:tab w:val="left" w:pos="4200"/>
        </w:tabs>
        <w:spacing w:line="440" w:lineRule="exact"/>
        <w:rPr>
          <w:sz w:val="24"/>
          <w:szCs w:val="24"/>
        </w:rPr>
      </w:pPr>
    </w:p>
    <w:p>
      <w:pPr>
        <w:tabs>
          <w:tab w:val="left" w:pos="4200"/>
        </w:tabs>
        <w:ind w:firstLine="2240" w:firstLineChars="800"/>
        <w:rPr>
          <w:sz w:val="24"/>
          <w:szCs w:val="24"/>
        </w:rPr>
      </w:pPr>
      <w:r>
        <w:rPr>
          <w:rFonts w:ascii="宋体" w:hAnsi="宋体" w:cs="仿宋_GB2312"/>
          <w:sz w:val="28"/>
          <w:szCs w:val="28"/>
        </w:rPr>
        <w:t>A     B      C      D</w:t>
      </w:r>
    </w:p>
    <w:p>
      <w:pPr>
        <w:tabs>
          <w:tab w:val="left" w:pos="4200"/>
        </w:tabs>
        <w:ind w:firstLine="560" w:firstLineChars="200"/>
        <w:rPr>
          <w:rFonts w:ascii="宋体" w:hAnsi="宋体" w:cs="仿宋_GB2312"/>
          <w:sz w:val="28"/>
          <w:szCs w:val="28"/>
        </w:rPr>
      </w:pPr>
      <w:r>
        <w:rPr>
          <w:rFonts w:hint="eastAsia" w:ascii="宋体" w:hAnsi="宋体" w:cs="仿宋_GB2312"/>
          <w:sz w:val="28"/>
          <w:szCs w:val="28"/>
        </w:rPr>
        <w:t>答案：</w:t>
      </w:r>
      <w:r>
        <w:rPr>
          <w:rFonts w:ascii="宋体" w:hAnsi="宋体" w:cs="仿宋_GB2312"/>
          <w:sz w:val="28"/>
          <w:szCs w:val="28"/>
        </w:rPr>
        <w:t>C</w:t>
      </w:r>
    </w:p>
    <w:p>
      <w:pPr>
        <w:tabs>
          <w:tab w:val="left" w:pos="4200"/>
        </w:tabs>
        <w:spacing w:line="560" w:lineRule="exact"/>
        <w:ind w:firstLine="562" w:firstLineChars="200"/>
        <w:rPr>
          <w:b/>
          <w:bCs/>
          <w:sz w:val="28"/>
          <w:szCs w:val="28"/>
        </w:rPr>
      </w:pPr>
      <w:r>
        <w:rPr>
          <w:rFonts w:hint="eastAsia" w:cs="仿宋_GB2312"/>
          <w:b/>
          <w:bCs/>
          <w:sz w:val="28"/>
          <w:szCs w:val="28"/>
        </w:rPr>
        <w:t>题型二：定义判断</w:t>
      </w:r>
    </w:p>
    <w:p>
      <w:pPr>
        <w:spacing w:line="560" w:lineRule="exact"/>
        <w:ind w:firstLine="560" w:firstLineChars="200"/>
        <w:rPr>
          <w:rFonts w:ascii="仿宋_GB2312" w:hAnsi="宋体"/>
          <w:sz w:val="28"/>
          <w:szCs w:val="28"/>
        </w:rPr>
      </w:pPr>
      <w:r>
        <w:rPr>
          <w:rFonts w:hint="eastAsia" w:ascii="仿宋_GB2312" w:hAnsi="宋体"/>
          <w:sz w:val="28"/>
          <w:szCs w:val="28"/>
        </w:rPr>
        <w:t>每道题先给出定义，这个定义被假设是正确的，不容置疑的，然后列出四种情况，要求应试人员严格依据定义，从中选出一个最符合或最不符合该定义的答案。</w:t>
      </w:r>
    </w:p>
    <w:p>
      <w:pPr>
        <w:tabs>
          <w:tab w:val="left" w:pos="4200"/>
        </w:tabs>
        <w:spacing w:line="560" w:lineRule="exact"/>
        <w:rPr>
          <w:rFonts w:ascii="楷体_GB2312" w:eastAsia="楷体_GB2312" w:cs="楷体_GB2312"/>
          <w:b/>
          <w:bCs/>
          <w:sz w:val="28"/>
          <w:szCs w:val="28"/>
        </w:rPr>
      </w:pPr>
      <w:r>
        <w:rPr>
          <w:rFonts w:hint="eastAsia" w:ascii="楷体_GB2312" w:eastAsia="楷体_GB2312" w:cs="楷体_GB2312"/>
          <w:b/>
          <w:bCs/>
          <w:sz w:val="28"/>
          <w:szCs w:val="28"/>
        </w:rPr>
        <w:t>例题：</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冗余设计是指在人力资源聘任、使用、解雇、辞退、晋升等过程中要留有充分的余地，使人力资源整体运行过程具有一定的弹性，当某一决策发生偏差时，留有纠偏和重新决策的余地。</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根据上述定义，以下</w:t>
      </w:r>
      <w:r>
        <w:rPr>
          <w:rFonts w:hint="eastAsia" w:ascii="宋体" w:hAnsi="宋体" w:cs="仿宋_GB2312"/>
          <w:b/>
          <w:sz w:val="28"/>
          <w:szCs w:val="28"/>
        </w:rPr>
        <w:t>不属于</w:t>
      </w:r>
      <w:r>
        <w:rPr>
          <w:rFonts w:hint="eastAsia" w:ascii="宋体" w:hAnsi="宋体" w:cs="仿宋_GB2312"/>
          <w:sz w:val="28"/>
          <w:szCs w:val="28"/>
        </w:rPr>
        <w:t>冗余设计的是：</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A</w:t>
      </w:r>
      <w:r>
        <w:rPr>
          <w:rFonts w:hint="eastAsia" w:ascii="宋体" w:hAnsi="宋体" w:cs="仿宋_GB2312"/>
          <w:sz w:val="28"/>
          <w:szCs w:val="28"/>
        </w:rPr>
        <w:t>．某物业配电室配备了两个人，即使一人有事外出，也可以保证有人值班</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B</w:t>
      </w:r>
      <w:r>
        <w:rPr>
          <w:rFonts w:hint="eastAsia" w:ascii="宋体" w:hAnsi="宋体" w:cs="仿宋_GB2312"/>
          <w:sz w:val="28"/>
          <w:szCs w:val="28"/>
        </w:rPr>
        <w:t>．篮球比赛中双方各出场</w:t>
      </w:r>
      <w:r>
        <w:rPr>
          <w:rFonts w:ascii="宋体" w:hAnsi="宋体" w:cs="仿宋_GB2312"/>
          <w:sz w:val="28"/>
          <w:szCs w:val="28"/>
        </w:rPr>
        <w:t>5</w:t>
      </w:r>
      <w:r>
        <w:rPr>
          <w:rFonts w:hint="eastAsia" w:ascii="宋体" w:hAnsi="宋体" w:cs="仿宋_GB2312"/>
          <w:sz w:val="28"/>
          <w:szCs w:val="28"/>
        </w:rPr>
        <w:t>名队员，但通常每支职业篮球队有</w:t>
      </w:r>
      <w:r>
        <w:rPr>
          <w:rFonts w:ascii="宋体" w:hAnsi="宋体" w:cs="仿宋_GB2312"/>
          <w:sz w:val="28"/>
          <w:szCs w:val="28"/>
        </w:rPr>
        <w:t>12</w:t>
      </w:r>
      <w:r>
        <w:rPr>
          <w:rFonts w:hint="eastAsia" w:ascii="宋体" w:hAnsi="宋体" w:cs="仿宋_GB2312"/>
          <w:sz w:val="28"/>
          <w:szCs w:val="28"/>
        </w:rPr>
        <w:t>～</w:t>
      </w:r>
      <w:r>
        <w:rPr>
          <w:rFonts w:ascii="宋体" w:hAnsi="宋体" w:cs="仿宋_GB2312"/>
          <w:sz w:val="28"/>
          <w:szCs w:val="28"/>
        </w:rPr>
        <w:t>15</w:t>
      </w:r>
      <w:r>
        <w:rPr>
          <w:rFonts w:hint="eastAsia" w:ascii="宋体" w:hAnsi="宋体" w:cs="仿宋_GB2312"/>
          <w:sz w:val="28"/>
          <w:szCs w:val="28"/>
        </w:rPr>
        <w:t>人</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C</w:t>
      </w:r>
      <w:r>
        <w:rPr>
          <w:rFonts w:hint="eastAsia" w:ascii="宋体" w:hAnsi="宋体" w:cs="仿宋_GB2312"/>
          <w:sz w:val="28"/>
          <w:szCs w:val="28"/>
        </w:rPr>
        <w:t>．某公司每年都会招一批大学生，让他们在各个岗位实习，作为储备干部培养</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D</w:t>
      </w:r>
      <w:r>
        <w:rPr>
          <w:rFonts w:hint="eastAsia" w:ascii="宋体" w:hAnsi="宋体" w:cs="仿宋_GB2312"/>
          <w:sz w:val="28"/>
          <w:szCs w:val="28"/>
        </w:rPr>
        <w:t>．设计部的一名员工辞职，公司立即从质检部抽人兼任，同时人力资源部开始紧急招人</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答案：</w:t>
      </w:r>
      <w:r>
        <w:rPr>
          <w:rFonts w:ascii="宋体" w:hAnsi="宋体" w:cs="仿宋_GB2312"/>
          <w:sz w:val="28"/>
          <w:szCs w:val="28"/>
        </w:rPr>
        <w:t>D</w:t>
      </w:r>
    </w:p>
    <w:p>
      <w:pPr>
        <w:tabs>
          <w:tab w:val="left" w:pos="4200"/>
        </w:tabs>
        <w:spacing w:line="560" w:lineRule="exact"/>
        <w:ind w:firstLine="562" w:firstLineChars="200"/>
        <w:rPr>
          <w:b/>
          <w:bCs/>
          <w:sz w:val="28"/>
          <w:szCs w:val="28"/>
        </w:rPr>
      </w:pPr>
      <w:r>
        <w:rPr>
          <w:rFonts w:hint="eastAsia" w:cs="仿宋_GB2312"/>
          <w:b/>
          <w:bCs/>
          <w:sz w:val="28"/>
          <w:szCs w:val="28"/>
        </w:rPr>
        <w:t>题型三：类比推理</w:t>
      </w:r>
    </w:p>
    <w:p>
      <w:pPr>
        <w:spacing w:line="560" w:lineRule="exact"/>
        <w:ind w:firstLine="560" w:firstLineChars="200"/>
        <w:rPr>
          <w:rFonts w:ascii="仿宋_GB2312" w:hAnsi="宋体"/>
          <w:sz w:val="28"/>
          <w:szCs w:val="28"/>
        </w:rPr>
      </w:pPr>
      <w:r>
        <w:rPr>
          <w:rFonts w:hint="eastAsia" w:ascii="仿宋_GB2312" w:hAnsi="宋体"/>
          <w:sz w:val="28"/>
          <w:szCs w:val="28"/>
        </w:rPr>
        <w:t>每道题给出一组相关的词，要求应试人员通过观察分析，在备选答案中找出一组与之在逻辑关系上最为贴近或相似的词。</w:t>
      </w:r>
    </w:p>
    <w:p>
      <w:pPr>
        <w:tabs>
          <w:tab w:val="left" w:pos="4200"/>
        </w:tabs>
        <w:spacing w:line="560" w:lineRule="exact"/>
        <w:rPr>
          <w:rFonts w:ascii="楷体_GB2312" w:eastAsia="楷体_GB2312" w:cs="楷体_GB2312"/>
          <w:b/>
          <w:bCs/>
          <w:sz w:val="28"/>
          <w:szCs w:val="28"/>
        </w:rPr>
      </w:pPr>
      <w:r>
        <w:rPr>
          <w:rFonts w:hint="eastAsia" w:ascii="楷体_GB2312" w:eastAsia="楷体_GB2312" w:cs="楷体_GB2312"/>
          <w:b/>
          <w:bCs/>
          <w:sz w:val="28"/>
          <w:szCs w:val="28"/>
        </w:rPr>
        <w:t>例题：</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老年证︰年龄</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A</w:t>
      </w:r>
      <w:r>
        <w:rPr>
          <w:rFonts w:hint="eastAsia" w:ascii="宋体" w:hAnsi="宋体" w:cs="仿宋_GB2312"/>
          <w:sz w:val="28"/>
          <w:szCs w:val="28"/>
        </w:rPr>
        <w:t>．资格证︰工作</w:t>
      </w:r>
      <w:r>
        <w:rPr>
          <w:rFonts w:ascii="宋体" w:hAnsi="宋体" w:cs="仿宋_GB2312"/>
          <w:sz w:val="28"/>
          <w:szCs w:val="28"/>
        </w:rPr>
        <w:tab/>
      </w:r>
      <w:r>
        <w:rPr>
          <w:rFonts w:ascii="宋体" w:hAnsi="宋体" w:cs="仿宋_GB2312"/>
          <w:sz w:val="28"/>
          <w:szCs w:val="28"/>
        </w:rPr>
        <w:t>B</w:t>
      </w:r>
      <w:r>
        <w:rPr>
          <w:rFonts w:hint="eastAsia" w:ascii="宋体" w:hAnsi="宋体" w:cs="仿宋_GB2312"/>
          <w:sz w:val="28"/>
          <w:szCs w:val="28"/>
        </w:rPr>
        <w:t>．毕业证︰学位</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C</w:t>
      </w:r>
      <w:r>
        <w:rPr>
          <w:rFonts w:hint="eastAsia" w:ascii="宋体" w:hAnsi="宋体" w:cs="仿宋_GB2312"/>
          <w:sz w:val="28"/>
          <w:szCs w:val="28"/>
        </w:rPr>
        <w:t>．伤残证︰医疗</w:t>
      </w:r>
      <w:r>
        <w:rPr>
          <w:rFonts w:hint="eastAsia" w:ascii="宋体" w:hAnsi="宋体" w:cs="仿宋_GB2312"/>
          <w:sz w:val="28"/>
          <w:szCs w:val="28"/>
        </w:rPr>
        <w:tab/>
      </w:r>
      <w:r>
        <w:rPr>
          <w:rFonts w:ascii="宋体" w:hAnsi="宋体" w:cs="仿宋_GB2312"/>
          <w:sz w:val="28"/>
          <w:szCs w:val="28"/>
        </w:rPr>
        <w:t>D</w:t>
      </w:r>
      <w:r>
        <w:rPr>
          <w:rFonts w:hint="eastAsia" w:ascii="宋体" w:hAnsi="宋体" w:cs="仿宋_GB2312"/>
          <w:sz w:val="28"/>
          <w:szCs w:val="28"/>
        </w:rPr>
        <w:t>．学生证︰身份</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答案：</w:t>
      </w:r>
      <w:r>
        <w:rPr>
          <w:rFonts w:ascii="宋体" w:hAnsi="宋体" w:cs="仿宋_GB2312"/>
          <w:sz w:val="28"/>
          <w:szCs w:val="28"/>
        </w:rPr>
        <w:t>D</w:t>
      </w:r>
    </w:p>
    <w:p>
      <w:pPr>
        <w:tabs>
          <w:tab w:val="left" w:pos="4200"/>
        </w:tabs>
        <w:spacing w:line="560" w:lineRule="exact"/>
        <w:ind w:firstLine="562" w:firstLineChars="200"/>
        <w:rPr>
          <w:b/>
          <w:bCs/>
          <w:sz w:val="28"/>
          <w:szCs w:val="28"/>
        </w:rPr>
      </w:pPr>
      <w:r>
        <w:rPr>
          <w:rFonts w:hint="eastAsia" w:cs="仿宋_GB2312"/>
          <w:b/>
          <w:bCs/>
          <w:sz w:val="28"/>
          <w:szCs w:val="28"/>
        </w:rPr>
        <w:t>题型四：逻辑判断</w:t>
      </w:r>
    </w:p>
    <w:p>
      <w:pPr>
        <w:spacing w:line="560" w:lineRule="exact"/>
        <w:ind w:firstLine="560" w:firstLineChars="200"/>
        <w:rPr>
          <w:rFonts w:ascii="仿宋_GB2312" w:hAnsi="宋体"/>
          <w:sz w:val="28"/>
          <w:szCs w:val="28"/>
        </w:rPr>
      </w:pPr>
      <w:r>
        <w:rPr>
          <w:rFonts w:hint="eastAsia" w:ascii="仿宋_GB2312" w:hAnsi="宋体"/>
          <w:sz w:val="28"/>
          <w:szCs w:val="28"/>
        </w:rPr>
        <w:t>每道题给出一段陈述，这段陈述被假设是正确的，不容置疑的。要求应试人员根据这段陈述，运用一定的逻辑推论，选择一个最恰当的答案。</w:t>
      </w:r>
    </w:p>
    <w:p>
      <w:pPr>
        <w:tabs>
          <w:tab w:val="left" w:pos="4200"/>
        </w:tabs>
        <w:spacing w:line="560" w:lineRule="exact"/>
        <w:rPr>
          <w:rFonts w:ascii="楷体_GB2312" w:eastAsia="楷体_GB2312" w:cs="楷体_GB2312"/>
          <w:b/>
          <w:bCs/>
          <w:sz w:val="28"/>
          <w:szCs w:val="28"/>
        </w:rPr>
      </w:pPr>
      <w:r>
        <w:rPr>
          <w:rFonts w:hint="eastAsia" w:ascii="楷体_GB2312" w:eastAsia="楷体_GB2312" w:cs="楷体_GB2312"/>
          <w:b/>
          <w:bCs/>
          <w:sz w:val="28"/>
          <w:szCs w:val="28"/>
        </w:rPr>
        <w:t>例题：</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为缓解上下班高峰时段城市交通拥堵状况，某市计划对这一时段进入中心城区的私人汽车征收</w:t>
      </w:r>
      <w:r>
        <w:rPr>
          <w:rFonts w:ascii="宋体" w:hAnsi="宋体" w:cs="仿宋_GB2312"/>
          <w:sz w:val="28"/>
          <w:szCs w:val="28"/>
        </w:rPr>
        <w:t>10</w:t>
      </w:r>
      <w:r>
        <w:rPr>
          <w:rFonts w:hint="eastAsia" w:ascii="宋体" w:hAnsi="宋体" w:cs="仿宋_GB2312"/>
          <w:sz w:val="28"/>
          <w:szCs w:val="28"/>
        </w:rPr>
        <w:t>元交通拥堵费，该费用将超过乘坐公共交通工具进入该区域的费用。专家称，很多人会因此选择乘坐公共汽车或地铁等公共交通工具，从而缓解这一时段的交通压力。</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以下各项如果为真，哪项</w:t>
      </w:r>
      <w:r>
        <w:rPr>
          <w:rFonts w:hint="eastAsia" w:ascii="宋体" w:hAnsi="宋体" w:cs="仿宋_GB2312"/>
          <w:b/>
          <w:sz w:val="28"/>
          <w:szCs w:val="28"/>
        </w:rPr>
        <w:t>不能</w:t>
      </w:r>
      <w:r>
        <w:rPr>
          <w:rFonts w:hint="eastAsia" w:ascii="宋体" w:hAnsi="宋体" w:cs="仿宋_GB2312"/>
          <w:sz w:val="28"/>
          <w:szCs w:val="28"/>
        </w:rPr>
        <w:t>削弱专家的论断？</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A</w:t>
      </w:r>
      <w:r>
        <w:rPr>
          <w:rFonts w:hint="eastAsia" w:ascii="宋体" w:hAnsi="宋体" w:cs="仿宋_GB2312"/>
          <w:sz w:val="28"/>
          <w:szCs w:val="28"/>
        </w:rPr>
        <w:t>．该市公共交通不发达</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B</w:t>
      </w:r>
      <w:r>
        <w:rPr>
          <w:rFonts w:hint="eastAsia" w:ascii="宋体" w:hAnsi="宋体" w:cs="仿宋_GB2312"/>
          <w:sz w:val="28"/>
          <w:szCs w:val="28"/>
        </w:rPr>
        <w:t>．该市非上下班时段交通拥堵也很严重</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C</w:t>
      </w:r>
      <w:r>
        <w:rPr>
          <w:rFonts w:hint="eastAsia" w:ascii="宋体" w:hAnsi="宋体" w:cs="仿宋_GB2312"/>
          <w:sz w:val="28"/>
          <w:szCs w:val="28"/>
        </w:rPr>
        <w:t>．中心城区的停车费远高于要缴纳的交通拥堵费</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D</w:t>
      </w:r>
      <w:r>
        <w:rPr>
          <w:rFonts w:hint="eastAsia" w:ascii="宋体" w:hAnsi="宋体" w:cs="仿宋_GB2312"/>
          <w:sz w:val="28"/>
          <w:szCs w:val="28"/>
        </w:rPr>
        <w:t>．私人汽车车主多为高收入人群，对</w:t>
      </w:r>
      <w:r>
        <w:rPr>
          <w:rFonts w:ascii="宋体" w:hAnsi="宋体" w:cs="仿宋_GB2312"/>
          <w:sz w:val="28"/>
          <w:szCs w:val="28"/>
        </w:rPr>
        <w:t>10</w:t>
      </w:r>
      <w:r>
        <w:rPr>
          <w:rFonts w:hint="eastAsia" w:ascii="宋体" w:hAnsi="宋体" w:cs="仿宋_GB2312"/>
          <w:sz w:val="28"/>
          <w:szCs w:val="28"/>
        </w:rPr>
        <w:t>元交通拥堵费不以为然</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答案：</w:t>
      </w:r>
      <w:r>
        <w:rPr>
          <w:rFonts w:ascii="宋体" w:hAnsi="宋体" w:cs="仿宋_GB2312"/>
          <w:sz w:val="28"/>
          <w:szCs w:val="28"/>
        </w:rPr>
        <w:t>B</w:t>
      </w:r>
    </w:p>
    <w:p>
      <w:pPr>
        <w:tabs>
          <w:tab w:val="left" w:pos="4200"/>
        </w:tabs>
        <w:spacing w:line="560" w:lineRule="exact"/>
        <w:ind w:firstLine="562" w:firstLineChars="200"/>
        <w:rPr>
          <w:b/>
          <w:bCs/>
          <w:sz w:val="28"/>
          <w:szCs w:val="28"/>
        </w:rPr>
      </w:pPr>
      <w:r>
        <w:rPr>
          <w:rFonts w:hint="eastAsia" w:ascii="仿宋_GB2312" w:cs="仿宋_GB2312"/>
          <w:b/>
          <w:bCs/>
          <w:sz w:val="28"/>
          <w:szCs w:val="28"/>
        </w:rPr>
        <w:t>5.</w:t>
      </w:r>
      <w:r>
        <w:rPr>
          <w:rFonts w:hint="eastAsia" w:cs="仿宋_GB2312"/>
          <w:b/>
          <w:bCs/>
          <w:sz w:val="28"/>
          <w:szCs w:val="28"/>
        </w:rPr>
        <w:t>资料分析</w:t>
      </w:r>
    </w:p>
    <w:p>
      <w:pPr>
        <w:spacing w:line="560" w:lineRule="exact"/>
        <w:ind w:firstLine="560" w:firstLineChars="200"/>
        <w:rPr>
          <w:rFonts w:ascii="仿宋_GB2312" w:hAnsi="宋体"/>
          <w:sz w:val="28"/>
          <w:szCs w:val="28"/>
        </w:rPr>
      </w:pPr>
      <w:r>
        <w:rPr>
          <w:rFonts w:hint="eastAsia" w:ascii="仿宋_GB2312" w:hAnsi="宋体"/>
          <w:sz w:val="28"/>
          <w:szCs w:val="28"/>
        </w:rPr>
        <w:t>主要测查应试人员对各种复合性的数据资料进行综合理解与分析加工的能力，资料通常以统计性的图表、文字材料等形式呈现。</w:t>
      </w:r>
    </w:p>
    <w:p>
      <w:pPr>
        <w:tabs>
          <w:tab w:val="left" w:pos="4200"/>
        </w:tabs>
        <w:spacing w:line="560" w:lineRule="exact"/>
        <w:rPr>
          <w:rFonts w:ascii="楷体_GB2312" w:eastAsia="楷体_GB2312" w:cs="楷体_GB2312"/>
          <w:b/>
          <w:bCs/>
          <w:sz w:val="28"/>
          <w:szCs w:val="28"/>
        </w:rPr>
      </w:pPr>
      <w:r>
        <w:rPr>
          <w:rFonts w:hint="eastAsia" w:ascii="楷体_GB2312" w:eastAsia="楷体_GB2312" w:cs="楷体_GB2312"/>
          <w:b/>
          <w:bCs/>
          <w:sz w:val="28"/>
          <w:szCs w:val="28"/>
        </w:rPr>
        <w:t>例题：</w:t>
      </w:r>
    </w:p>
    <w:p>
      <w:pPr>
        <w:tabs>
          <w:tab w:val="left" w:pos="4200"/>
        </w:tabs>
        <w:spacing w:line="560" w:lineRule="exact"/>
        <w:ind w:firstLine="420" w:firstLineChars="150"/>
        <w:rPr>
          <w:rFonts w:ascii="楷体_GB2312" w:eastAsia="楷体_GB2312" w:cs="楷体_GB2312"/>
          <w:b/>
          <w:bCs/>
          <w:sz w:val="32"/>
          <w:szCs w:val="28"/>
        </w:rPr>
      </w:pPr>
      <w:r>
        <w:rPr>
          <w:rFonts w:hint="eastAsia" w:ascii="宋体" w:hAnsi="宋体" w:cs="仿宋_GB2312"/>
          <w:sz w:val="28"/>
          <w:szCs w:val="28"/>
        </w:rPr>
        <w:t>根据以下资料回答问题：</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2010</w:t>
      </w:r>
      <w:r>
        <w:rPr>
          <w:rFonts w:hint="eastAsia" w:ascii="宋体" w:hAnsi="宋体" w:cs="仿宋_GB2312"/>
          <w:sz w:val="28"/>
          <w:szCs w:val="28"/>
        </w:rPr>
        <w:t>年末，某市民用车辆拥有量达</w:t>
      </w:r>
      <w:r>
        <w:rPr>
          <w:rFonts w:ascii="宋体" w:hAnsi="宋体" w:cs="仿宋_GB2312"/>
          <w:sz w:val="28"/>
          <w:szCs w:val="28"/>
        </w:rPr>
        <w:t>309.7</w:t>
      </w:r>
      <w:r>
        <w:rPr>
          <w:rFonts w:hint="eastAsia" w:ascii="宋体" w:hAnsi="宋体" w:cs="仿宋_GB2312"/>
          <w:sz w:val="28"/>
          <w:szCs w:val="28"/>
        </w:rPr>
        <w:t>万辆，同比增长</w:t>
      </w:r>
      <w:r>
        <w:rPr>
          <w:rFonts w:ascii="宋体" w:hAnsi="宋体" w:cs="仿宋_GB2312"/>
          <w:sz w:val="28"/>
          <w:szCs w:val="28"/>
        </w:rPr>
        <w:t>8.7%</w:t>
      </w:r>
      <w:r>
        <w:rPr>
          <w:rFonts w:hint="eastAsia" w:ascii="宋体" w:hAnsi="宋体" w:cs="仿宋_GB2312"/>
          <w:sz w:val="28"/>
          <w:szCs w:val="28"/>
        </w:rPr>
        <w:t>，其中，进口车拥有量</w:t>
      </w:r>
      <w:r>
        <w:rPr>
          <w:rFonts w:ascii="宋体" w:hAnsi="宋体" w:cs="仿宋_GB2312"/>
          <w:sz w:val="28"/>
          <w:szCs w:val="28"/>
        </w:rPr>
        <w:t>12.54</w:t>
      </w:r>
      <w:r>
        <w:rPr>
          <w:rFonts w:hint="eastAsia" w:ascii="宋体" w:hAnsi="宋体" w:cs="仿宋_GB2312"/>
          <w:sz w:val="28"/>
          <w:szCs w:val="28"/>
        </w:rPr>
        <w:t>万辆，增长</w:t>
      </w:r>
      <w:r>
        <w:rPr>
          <w:rFonts w:ascii="宋体" w:hAnsi="宋体" w:cs="仿宋_GB2312"/>
          <w:sz w:val="28"/>
          <w:szCs w:val="28"/>
        </w:rPr>
        <w:t>43.2%</w:t>
      </w:r>
      <w:r>
        <w:rPr>
          <w:rFonts w:hint="eastAsia" w:ascii="宋体" w:hAnsi="宋体" w:cs="仿宋_GB2312"/>
          <w:sz w:val="28"/>
          <w:szCs w:val="28"/>
        </w:rPr>
        <w:t>。</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2010</w:t>
      </w:r>
      <w:r>
        <w:rPr>
          <w:rFonts w:hint="eastAsia" w:ascii="宋体" w:hAnsi="宋体" w:cs="仿宋_GB2312"/>
          <w:sz w:val="28"/>
          <w:szCs w:val="28"/>
        </w:rPr>
        <w:t>年末，该市个人车辆拥有量</w:t>
      </w:r>
      <w:r>
        <w:rPr>
          <w:rFonts w:ascii="宋体" w:hAnsi="宋体" w:cs="仿宋_GB2312"/>
          <w:sz w:val="28"/>
          <w:szCs w:val="28"/>
        </w:rPr>
        <w:t>229.83</w:t>
      </w:r>
      <w:r>
        <w:rPr>
          <w:rFonts w:hint="eastAsia" w:ascii="宋体" w:hAnsi="宋体" w:cs="仿宋_GB2312"/>
          <w:sz w:val="28"/>
          <w:szCs w:val="28"/>
        </w:rPr>
        <w:t>万辆，同比增长</w:t>
      </w:r>
      <w:r>
        <w:rPr>
          <w:rFonts w:ascii="宋体" w:hAnsi="宋体" w:cs="仿宋_GB2312"/>
          <w:sz w:val="28"/>
          <w:szCs w:val="28"/>
        </w:rPr>
        <w:t>9.2%</w:t>
      </w:r>
      <w:r>
        <w:rPr>
          <w:rFonts w:hint="eastAsia" w:ascii="宋体" w:hAnsi="宋体" w:cs="仿宋_GB2312"/>
          <w:sz w:val="28"/>
          <w:szCs w:val="28"/>
        </w:rPr>
        <w:t>。个人汽车拥有量</w:t>
      </w:r>
      <w:r>
        <w:rPr>
          <w:rFonts w:ascii="宋体" w:hAnsi="宋体" w:cs="仿宋_GB2312"/>
          <w:sz w:val="28"/>
          <w:szCs w:val="28"/>
        </w:rPr>
        <w:t>103.85</w:t>
      </w:r>
      <w:r>
        <w:rPr>
          <w:rFonts w:hint="eastAsia" w:ascii="宋体" w:hAnsi="宋体" w:cs="仿宋_GB2312"/>
          <w:sz w:val="28"/>
          <w:szCs w:val="28"/>
        </w:rPr>
        <w:t>万辆，增长</w:t>
      </w:r>
      <w:r>
        <w:rPr>
          <w:rFonts w:ascii="宋体" w:hAnsi="宋体" w:cs="仿宋_GB2312"/>
          <w:sz w:val="28"/>
          <w:szCs w:val="28"/>
        </w:rPr>
        <w:t>21.9%</w:t>
      </w:r>
      <w:r>
        <w:rPr>
          <w:rFonts w:hint="eastAsia" w:ascii="宋体" w:hAnsi="宋体" w:cs="仿宋_GB2312"/>
          <w:sz w:val="28"/>
          <w:szCs w:val="28"/>
        </w:rPr>
        <w:t>，其中个人轿车拥有量</w:t>
      </w:r>
      <w:r>
        <w:rPr>
          <w:rFonts w:ascii="宋体" w:hAnsi="宋体" w:cs="仿宋_GB2312"/>
          <w:sz w:val="28"/>
          <w:szCs w:val="28"/>
        </w:rPr>
        <w:t>86.54</w:t>
      </w:r>
      <w:r>
        <w:rPr>
          <w:rFonts w:hint="eastAsia" w:ascii="宋体" w:hAnsi="宋体" w:cs="仿宋_GB2312"/>
          <w:sz w:val="28"/>
          <w:szCs w:val="28"/>
        </w:rPr>
        <w:t>万辆，增长</w:t>
      </w:r>
      <w:r>
        <w:rPr>
          <w:rFonts w:ascii="宋体" w:hAnsi="宋体" w:cs="仿宋_GB2312"/>
          <w:sz w:val="28"/>
          <w:szCs w:val="28"/>
        </w:rPr>
        <w:t>21.8%</w:t>
      </w:r>
      <w:r>
        <w:rPr>
          <w:rFonts w:hint="eastAsia" w:ascii="宋体" w:hAnsi="宋体" w:cs="仿宋_GB2312"/>
          <w:sz w:val="28"/>
          <w:szCs w:val="28"/>
        </w:rPr>
        <w:t>。</w:t>
      </w:r>
    </w:p>
    <w:p>
      <w:pPr>
        <w:widowControl/>
        <w:tabs>
          <w:tab w:val="left" w:pos="4200"/>
        </w:tabs>
        <w:spacing w:line="400" w:lineRule="exact"/>
        <w:ind w:firstLine="560" w:firstLineChars="200"/>
        <w:jc w:val="center"/>
        <w:rPr>
          <w:rFonts w:ascii="黑体" w:hAnsi="宋体" w:eastAsia="黑体"/>
          <w:kern w:val="0"/>
          <w:sz w:val="28"/>
          <w:szCs w:val="28"/>
        </w:rPr>
      </w:pPr>
      <w:r>
        <w:rPr>
          <w:rFonts w:eastAsia="黑体"/>
          <w:kern w:val="0"/>
          <w:sz w:val="28"/>
          <w:szCs w:val="28"/>
        </w:rPr>
        <w:t>2010</w:t>
      </w:r>
      <w:r>
        <w:rPr>
          <w:rFonts w:hint="eastAsia" w:eastAsia="黑体" w:cs="黑体"/>
          <w:kern w:val="0"/>
          <w:sz w:val="28"/>
          <w:szCs w:val="28"/>
        </w:rPr>
        <w:t>年某市</w:t>
      </w:r>
      <w:r>
        <w:rPr>
          <w:rFonts w:hint="eastAsia" w:ascii="黑体" w:eastAsia="黑体" w:cs="黑体"/>
          <w:kern w:val="0"/>
          <w:sz w:val="28"/>
          <w:szCs w:val="28"/>
        </w:rPr>
        <w:t>民用车辆</w:t>
      </w:r>
      <w:r>
        <w:rPr>
          <w:rFonts w:hint="eastAsia" w:ascii="黑体" w:hAnsi="宋体" w:eastAsia="黑体" w:cs="黑体"/>
          <w:kern w:val="0"/>
          <w:sz w:val="28"/>
          <w:szCs w:val="28"/>
        </w:rPr>
        <w:t>拥有量</w:t>
      </w:r>
    </w:p>
    <w:tbl>
      <w:tblPr>
        <w:tblStyle w:val="16"/>
        <w:tblW w:w="5000" w:type="pct"/>
        <w:jc w:val="center"/>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15"/>
        <w:gridCol w:w="3182"/>
        <w:gridCol w:w="2725"/>
      </w:tblGrid>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34" w:type="pct"/>
            <w:tcBorders>
              <w:top w:val="single" w:color="auto" w:sz="4" w:space="0"/>
              <w:left w:val="nil"/>
              <w:bottom w:val="single" w:color="auto" w:sz="4" w:space="0"/>
              <w:right w:val="single" w:color="auto" w:sz="4" w:space="0"/>
            </w:tcBorders>
            <w:noWrap/>
            <w:vAlign w:val="center"/>
          </w:tcPr>
          <w:p>
            <w:pPr>
              <w:widowControl/>
              <w:tabs>
                <w:tab w:val="left" w:pos="4200"/>
              </w:tabs>
              <w:spacing w:line="400" w:lineRule="exact"/>
              <w:jc w:val="center"/>
              <w:rPr>
                <w:rFonts w:ascii="宋体"/>
                <w:kern w:val="0"/>
                <w:sz w:val="28"/>
                <w:szCs w:val="28"/>
              </w:rPr>
            </w:pPr>
            <w:r>
              <w:rPr>
                <w:rFonts w:hint="eastAsia" w:ascii="宋体" w:hAnsi="宋体" w:cs="宋体"/>
                <w:kern w:val="0"/>
                <w:sz w:val="28"/>
                <w:szCs w:val="28"/>
              </w:rPr>
              <w:t>品种</w:t>
            </w:r>
          </w:p>
        </w:tc>
        <w:tc>
          <w:tcPr>
            <w:tcW w:w="1867" w:type="pct"/>
            <w:tcBorders>
              <w:top w:val="single" w:color="auto" w:sz="4" w:space="0"/>
              <w:left w:val="single" w:color="auto" w:sz="4" w:space="0"/>
              <w:bottom w:val="single" w:color="auto" w:sz="4" w:space="0"/>
              <w:right w:val="single" w:color="auto" w:sz="4" w:space="0"/>
            </w:tcBorders>
            <w:noWrap/>
            <w:vAlign w:val="center"/>
          </w:tcPr>
          <w:p>
            <w:pPr>
              <w:widowControl/>
              <w:tabs>
                <w:tab w:val="left" w:pos="4200"/>
              </w:tabs>
              <w:spacing w:line="400" w:lineRule="exact"/>
              <w:ind w:left="-150" w:leftChars="-50" w:right="-318" w:rightChars="-106"/>
              <w:jc w:val="center"/>
              <w:rPr>
                <w:rFonts w:ascii="宋体"/>
                <w:kern w:val="0"/>
                <w:sz w:val="28"/>
                <w:szCs w:val="28"/>
              </w:rPr>
            </w:pPr>
            <w:r>
              <w:rPr>
                <w:rFonts w:hint="eastAsia" w:ascii="宋体" w:hAnsi="宋体" w:cs="宋体"/>
                <w:kern w:val="0"/>
                <w:sz w:val="28"/>
                <w:szCs w:val="28"/>
              </w:rPr>
              <w:t>拥有量（万辆）</w:t>
            </w:r>
          </w:p>
        </w:tc>
        <w:tc>
          <w:tcPr>
            <w:tcW w:w="1599" w:type="pct"/>
            <w:tcBorders>
              <w:top w:val="single" w:color="auto" w:sz="4" w:space="0"/>
              <w:left w:val="single" w:color="auto" w:sz="4" w:space="0"/>
              <w:bottom w:val="single" w:color="auto" w:sz="4" w:space="0"/>
              <w:right w:val="nil"/>
            </w:tcBorders>
            <w:noWrap/>
            <w:vAlign w:val="center"/>
          </w:tcPr>
          <w:p>
            <w:pPr>
              <w:widowControl/>
              <w:tabs>
                <w:tab w:val="left" w:pos="4200"/>
              </w:tabs>
              <w:spacing w:line="400" w:lineRule="exact"/>
              <w:ind w:left="-246" w:leftChars="-82" w:right="-156" w:rightChars="-52" w:firstLine="229" w:firstLineChars="82"/>
              <w:jc w:val="center"/>
              <w:rPr>
                <w:rFonts w:ascii="宋体"/>
                <w:kern w:val="0"/>
                <w:sz w:val="28"/>
                <w:szCs w:val="28"/>
              </w:rPr>
            </w:pPr>
            <w:r>
              <w:rPr>
                <w:rFonts w:hint="eastAsia" w:ascii="宋体" w:hAnsi="宋体" w:cs="宋体"/>
                <w:kern w:val="0"/>
                <w:sz w:val="28"/>
                <w:szCs w:val="28"/>
              </w:rPr>
              <w:t>同比增长（</w:t>
            </w:r>
            <w:r>
              <w:rPr>
                <w:rFonts w:ascii="宋体" w:hAnsi="宋体" w:cs="宋体"/>
                <w:kern w:val="0"/>
                <w:sz w:val="28"/>
                <w:szCs w:val="28"/>
              </w:rPr>
              <w:t>%</w:t>
            </w:r>
            <w:r>
              <w:rPr>
                <w:rFonts w:hint="eastAsia" w:ascii="宋体" w:hAnsi="宋体" w:cs="宋体"/>
                <w:kern w:val="0"/>
                <w:sz w:val="28"/>
                <w:szCs w:val="28"/>
              </w:rPr>
              <w:t>）</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34" w:type="pct"/>
            <w:tcBorders>
              <w:top w:val="single" w:color="auto" w:sz="4" w:space="0"/>
              <w:left w:val="nil"/>
              <w:bottom w:val="nil"/>
              <w:right w:val="single" w:color="auto" w:sz="4" w:space="0"/>
            </w:tcBorders>
            <w:noWrap/>
            <w:vAlign w:val="center"/>
          </w:tcPr>
          <w:p>
            <w:pPr>
              <w:widowControl/>
              <w:tabs>
                <w:tab w:val="left" w:pos="4200"/>
              </w:tabs>
              <w:spacing w:line="400" w:lineRule="exact"/>
              <w:ind w:firstLine="8" w:firstLineChars="3"/>
              <w:jc w:val="center"/>
              <w:rPr>
                <w:rFonts w:ascii="宋体"/>
                <w:kern w:val="0"/>
                <w:sz w:val="28"/>
                <w:szCs w:val="28"/>
              </w:rPr>
            </w:pPr>
            <w:r>
              <w:rPr>
                <w:rFonts w:hint="eastAsia" w:ascii="宋体" w:hAnsi="宋体" w:cs="宋体"/>
                <w:kern w:val="0"/>
                <w:sz w:val="28"/>
                <w:szCs w:val="28"/>
              </w:rPr>
              <w:t>汽车</w:t>
            </w:r>
          </w:p>
        </w:tc>
        <w:tc>
          <w:tcPr>
            <w:tcW w:w="1867" w:type="pct"/>
            <w:tcBorders>
              <w:top w:val="single" w:color="auto" w:sz="4" w:space="0"/>
              <w:left w:val="single" w:color="auto" w:sz="4" w:space="0"/>
              <w:bottom w:val="nil"/>
              <w:right w:val="single" w:color="auto" w:sz="4" w:space="0"/>
            </w:tcBorders>
            <w:noWrap/>
            <w:vAlign w:val="center"/>
          </w:tcPr>
          <w:p>
            <w:pPr>
              <w:widowControl/>
              <w:tabs>
                <w:tab w:val="left" w:pos="4200"/>
              </w:tabs>
              <w:spacing w:line="400" w:lineRule="exact"/>
              <w:jc w:val="center"/>
              <w:rPr>
                <w:rFonts w:ascii="宋体"/>
                <w:kern w:val="0"/>
                <w:sz w:val="28"/>
                <w:szCs w:val="28"/>
              </w:rPr>
            </w:pPr>
            <w:r>
              <w:rPr>
                <w:rFonts w:ascii="宋体" w:hAnsi="宋体" w:cs="宋体"/>
                <w:kern w:val="0"/>
                <w:sz w:val="28"/>
                <w:szCs w:val="28"/>
              </w:rPr>
              <w:t>170.25</w:t>
            </w:r>
          </w:p>
        </w:tc>
        <w:tc>
          <w:tcPr>
            <w:tcW w:w="1599" w:type="pct"/>
            <w:tcBorders>
              <w:top w:val="single" w:color="auto" w:sz="4" w:space="0"/>
              <w:left w:val="single" w:color="auto" w:sz="4" w:space="0"/>
              <w:bottom w:val="nil"/>
              <w:right w:val="nil"/>
            </w:tcBorders>
            <w:noWrap/>
            <w:vAlign w:val="center"/>
          </w:tcPr>
          <w:p>
            <w:pPr>
              <w:widowControl/>
              <w:tabs>
                <w:tab w:val="left" w:pos="4200"/>
              </w:tabs>
              <w:spacing w:line="400" w:lineRule="exact"/>
              <w:jc w:val="center"/>
              <w:rPr>
                <w:rFonts w:ascii="宋体"/>
                <w:kern w:val="0"/>
                <w:sz w:val="28"/>
                <w:szCs w:val="28"/>
              </w:rPr>
            </w:pPr>
            <w:r>
              <w:rPr>
                <w:rFonts w:ascii="宋体" w:hAnsi="宋体" w:cs="宋体"/>
                <w:kern w:val="0"/>
                <w:sz w:val="28"/>
                <w:szCs w:val="28"/>
              </w:rPr>
              <w:t>15.6</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34" w:type="pct"/>
            <w:tcBorders>
              <w:top w:val="nil"/>
              <w:left w:val="nil"/>
              <w:bottom w:val="nil"/>
              <w:right w:val="single" w:color="auto" w:sz="4" w:space="0"/>
            </w:tcBorders>
            <w:noWrap/>
            <w:vAlign w:val="center"/>
          </w:tcPr>
          <w:p>
            <w:pPr>
              <w:widowControl/>
              <w:tabs>
                <w:tab w:val="left" w:pos="4200"/>
              </w:tabs>
              <w:spacing w:line="400" w:lineRule="exact"/>
              <w:ind w:firstLine="8" w:firstLineChars="3"/>
              <w:jc w:val="center"/>
              <w:rPr>
                <w:rFonts w:ascii="宋体"/>
                <w:kern w:val="0"/>
                <w:sz w:val="28"/>
                <w:szCs w:val="28"/>
              </w:rPr>
            </w:pPr>
            <w:r>
              <w:rPr>
                <w:rFonts w:hint="eastAsia" w:ascii="宋体" w:hAnsi="宋体" w:cs="宋体"/>
                <w:kern w:val="0"/>
                <w:sz w:val="28"/>
                <w:szCs w:val="28"/>
              </w:rPr>
              <w:t>电车</w:t>
            </w:r>
          </w:p>
        </w:tc>
        <w:tc>
          <w:tcPr>
            <w:tcW w:w="1867" w:type="pct"/>
            <w:tcBorders>
              <w:top w:val="nil"/>
              <w:left w:val="single" w:color="auto" w:sz="4" w:space="0"/>
              <w:bottom w:val="nil"/>
              <w:right w:val="single" w:color="auto" w:sz="4" w:space="0"/>
            </w:tcBorders>
            <w:noWrap/>
            <w:vAlign w:val="center"/>
          </w:tcPr>
          <w:p>
            <w:pPr>
              <w:widowControl/>
              <w:tabs>
                <w:tab w:val="left" w:pos="4200"/>
              </w:tabs>
              <w:spacing w:line="400" w:lineRule="exact"/>
              <w:jc w:val="center"/>
              <w:rPr>
                <w:rFonts w:ascii="宋体"/>
                <w:kern w:val="0"/>
                <w:sz w:val="28"/>
                <w:szCs w:val="28"/>
              </w:rPr>
            </w:pPr>
            <w:r>
              <w:rPr>
                <w:rFonts w:ascii="宋体" w:hAnsi="宋体" w:cs="宋体"/>
                <w:kern w:val="0"/>
                <w:sz w:val="28"/>
                <w:szCs w:val="28"/>
              </w:rPr>
              <w:t>0.02</w:t>
            </w:r>
          </w:p>
        </w:tc>
        <w:tc>
          <w:tcPr>
            <w:tcW w:w="1599" w:type="pct"/>
            <w:tcBorders>
              <w:top w:val="nil"/>
              <w:left w:val="single" w:color="auto" w:sz="4" w:space="0"/>
              <w:bottom w:val="nil"/>
              <w:right w:val="nil"/>
            </w:tcBorders>
            <w:noWrap/>
            <w:vAlign w:val="center"/>
          </w:tcPr>
          <w:p>
            <w:pPr>
              <w:widowControl/>
              <w:tabs>
                <w:tab w:val="left" w:pos="4200"/>
              </w:tabs>
              <w:spacing w:line="400" w:lineRule="exact"/>
              <w:jc w:val="center"/>
              <w:rPr>
                <w:rFonts w:ascii="宋体"/>
                <w:kern w:val="0"/>
                <w:sz w:val="28"/>
                <w:szCs w:val="28"/>
              </w:rPr>
            </w:pPr>
            <w:r>
              <w:rPr>
                <w:rFonts w:ascii="宋体" w:hAnsi="宋体" w:cs="宋体"/>
                <w:kern w:val="0"/>
                <w:sz w:val="28"/>
                <w:szCs w:val="28"/>
              </w:rPr>
              <w:t>-8.8</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34" w:type="pct"/>
            <w:tcBorders>
              <w:top w:val="nil"/>
              <w:left w:val="nil"/>
              <w:bottom w:val="nil"/>
              <w:right w:val="single" w:color="auto" w:sz="4" w:space="0"/>
            </w:tcBorders>
            <w:noWrap/>
            <w:vAlign w:val="center"/>
          </w:tcPr>
          <w:p>
            <w:pPr>
              <w:widowControl/>
              <w:tabs>
                <w:tab w:val="left" w:pos="4200"/>
              </w:tabs>
              <w:spacing w:line="400" w:lineRule="exact"/>
              <w:ind w:firstLine="8" w:firstLineChars="3"/>
              <w:jc w:val="center"/>
              <w:rPr>
                <w:rFonts w:ascii="宋体"/>
                <w:kern w:val="0"/>
                <w:sz w:val="28"/>
                <w:szCs w:val="28"/>
              </w:rPr>
            </w:pPr>
            <w:r>
              <w:rPr>
                <w:rFonts w:hint="eastAsia" w:ascii="宋体" w:hAnsi="宋体" w:cs="宋体"/>
                <w:kern w:val="0"/>
                <w:sz w:val="28"/>
                <w:szCs w:val="28"/>
              </w:rPr>
              <w:t>摩托车</w:t>
            </w:r>
          </w:p>
        </w:tc>
        <w:tc>
          <w:tcPr>
            <w:tcW w:w="1867" w:type="pct"/>
            <w:tcBorders>
              <w:top w:val="nil"/>
              <w:left w:val="single" w:color="auto" w:sz="4" w:space="0"/>
              <w:bottom w:val="nil"/>
              <w:right w:val="single" w:color="auto" w:sz="4" w:space="0"/>
            </w:tcBorders>
            <w:noWrap/>
            <w:vAlign w:val="center"/>
          </w:tcPr>
          <w:p>
            <w:pPr>
              <w:widowControl/>
              <w:tabs>
                <w:tab w:val="left" w:pos="4200"/>
              </w:tabs>
              <w:spacing w:line="400" w:lineRule="exact"/>
              <w:jc w:val="center"/>
              <w:rPr>
                <w:rFonts w:ascii="宋体"/>
                <w:kern w:val="0"/>
                <w:sz w:val="28"/>
                <w:szCs w:val="28"/>
              </w:rPr>
            </w:pPr>
            <w:r>
              <w:rPr>
                <w:rFonts w:ascii="宋体" w:hAnsi="宋体" w:cs="宋体"/>
                <w:kern w:val="0"/>
                <w:sz w:val="28"/>
                <w:szCs w:val="28"/>
              </w:rPr>
              <w:t>129.12</w:t>
            </w:r>
          </w:p>
        </w:tc>
        <w:tc>
          <w:tcPr>
            <w:tcW w:w="1599" w:type="pct"/>
            <w:tcBorders>
              <w:top w:val="nil"/>
              <w:left w:val="single" w:color="auto" w:sz="4" w:space="0"/>
              <w:bottom w:val="nil"/>
              <w:right w:val="nil"/>
            </w:tcBorders>
            <w:noWrap/>
            <w:vAlign w:val="center"/>
          </w:tcPr>
          <w:p>
            <w:pPr>
              <w:widowControl/>
              <w:tabs>
                <w:tab w:val="left" w:pos="4200"/>
              </w:tabs>
              <w:spacing w:line="400" w:lineRule="exact"/>
              <w:jc w:val="center"/>
              <w:rPr>
                <w:rFonts w:ascii="宋体"/>
                <w:kern w:val="0"/>
                <w:sz w:val="28"/>
                <w:szCs w:val="28"/>
              </w:rPr>
            </w:pPr>
            <w:r>
              <w:rPr>
                <w:rFonts w:ascii="宋体" w:hAnsi="宋体" w:cs="宋体"/>
                <w:kern w:val="0"/>
                <w:sz w:val="28"/>
                <w:szCs w:val="28"/>
              </w:rPr>
              <w:t>0.4</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34" w:type="pct"/>
            <w:tcBorders>
              <w:top w:val="nil"/>
              <w:left w:val="nil"/>
              <w:bottom w:val="nil"/>
              <w:right w:val="single" w:color="auto" w:sz="4" w:space="0"/>
            </w:tcBorders>
            <w:noWrap/>
            <w:vAlign w:val="center"/>
          </w:tcPr>
          <w:p>
            <w:pPr>
              <w:widowControl/>
              <w:tabs>
                <w:tab w:val="left" w:pos="4200"/>
              </w:tabs>
              <w:spacing w:line="400" w:lineRule="exact"/>
              <w:ind w:firstLine="8" w:firstLineChars="3"/>
              <w:jc w:val="center"/>
              <w:rPr>
                <w:rFonts w:ascii="宋体"/>
                <w:kern w:val="0"/>
                <w:sz w:val="28"/>
                <w:szCs w:val="28"/>
              </w:rPr>
            </w:pPr>
            <w:r>
              <w:rPr>
                <w:rFonts w:hint="eastAsia" w:ascii="宋体" w:hAnsi="宋体" w:cs="宋体"/>
                <w:kern w:val="0"/>
                <w:sz w:val="28"/>
                <w:szCs w:val="28"/>
              </w:rPr>
              <w:t>拖拉机</w:t>
            </w:r>
          </w:p>
        </w:tc>
        <w:tc>
          <w:tcPr>
            <w:tcW w:w="1867" w:type="pct"/>
            <w:tcBorders>
              <w:top w:val="nil"/>
              <w:left w:val="single" w:color="auto" w:sz="4" w:space="0"/>
              <w:bottom w:val="nil"/>
              <w:right w:val="single" w:color="auto" w:sz="4" w:space="0"/>
            </w:tcBorders>
            <w:noWrap/>
            <w:vAlign w:val="center"/>
          </w:tcPr>
          <w:p>
            <w:pPr>
              <w:widowControl/>
              <w:tabs>
                <w:tab w:val="left" w:pos="4200"/>
              </w:tabs>
              <w:spacing w:line="400" w:lineRule="exact"/>
              <w:jc w:val="center"/>
              <w:rPr>
                <w:rFonts w:ascii="宋体"/>
                <w:kern w:val="0"/>
                <w:sz w:val="28"/>
                <w:szCs w:val="28"/>
              </w:rPr>
            </w:pPr>
            <w:r>
              <w:rPr>
                <w:rFonts w:ascii="宋体" w:hAnsi="宋体" w:cs="宋体"/>
                <w:kern w:val="0"/>
                <w:sz w:val="28"/>
                <w:szCs w:val="28"/>
              </w:rPr>
              <w:t>1.16</w:t>
            </w:r>
          </w:p>
        </w:tc>
        <w:tc>
          <w:tcPr>
            <w:tcW w:w="1599" w:type="pct"/>
            <w:tcBorders>
              <w:top w:val="nil"/>
              <w:left w:val="single" w:color="auto" w:sz="4" w:space="0"/>
              <w:bottom w:val="nil"/>
              <w:right w:val="nil"/>
            </w:tcBorders>
            <w:noWrap/>
            <w:vAlign w:val="center"/>
          </w:tcPr>
          <w:p>
            <w:pPr>
              <w:widowControl/>
              <w:tabs>
                <w:tab w:val="left" w:pos="4200"/>
              </w:tabs>
              <w:spacing w:line="400" w:lineRule="exact"/>
              <w:jc w:val="center"/>
              <w:rPr>
                <w:rFonts w:ascii="宋体"/>
                <w:kern w:val="0"/>
                <w:sz w:val="28"/>
                <w:szCs w:val="28"/>
              </w:rPr>
            </w:pPr>
            <w:r>
              <w:rPr>
                <w:rFonts w:ascii="宋体" w:hAnsi="宋体" w:cs="宋体"/>
                <w:kern w:val="0"/>
                <w:sz w:val="28"/>
                <w:szCs w:val="28"/>
              </w:rPr>
              <w:t>0.7</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34" w:type="pct"/>
            <w:tcBorders>
              <w:top w:val="nil"/>
              <w:left w:val="nil"/>
              <w:bottom w:val="nil"/>
              <w:right w:val="single" w:color="auto" w:sz="4" w:space="0"/>
            </w:tcBorders>
            <w:noWrap/>
            <w:vAlign w:val="center"/>
          </w:tcPr>
          <w:p>
            <w:pPr>
              <w:widowControl/>
              <w:tabs>
                <w:tab w:val="left" w:pos="4200"/>
              </w:tabs>
              <w:spacing w:line="400" w:lineRule="exact"/>
              <w:ind w:firstLine="8" w:firstLineChars="3"/>
              <w:jc w:val="center"/>
              <w:rPr>
                <w:rFonts w:ascii="宋体"/>
                <w:kern w:val="0"/>
                <w:sz w:val="28"/>
                <w:szCs w:val="28"/>
              </w:rPr>
            </w:pPr>
            <w:r>
              <w:rPr>
                <w:rFonts w:hint="eastAsia" w:ascii="宋体" w:hAnsi="宋体" w:cs="宋体"/>
                <w:kern w:val="0"/>
                <w:sz w:val="28"/>
                <w:szCs w:val="28"/>
              </w:rPr>
              <w:t>挂车</w:t>
            </w:r>
          </w:p>
        </w:tc>
        <w:tc>
          <w:tcPr>
            <w:tcW w:w="1867" w:type="pct"/>
            <w:tcBorders>
              <w:top w:val="nil"/>
              <w:left w:val="single" w:color="auto" w:sz="4" w:space="0"/>
              <w:bottom w:val="nil"/>
              <w:right w:val="single" w:color="auto" w:sz="4" w:space="0"/>
            </w:tcBorders>
            <w:noWrap/>
            <w:vAlign w:val="center"/>
          </w:tcPr>
          <w:p>
            <w:pPr>
              <w:widowControl/>
              <w:tabs>
                <w:tab w:val="left" w:pos="4200"/>
              </w:tabs>
              <w:spacing w:line="400" w:lineRule="exact"/>
              <w:jc w:val="center"/>
              <w:rPr>
                <w:rFonts w:ascii="宋体"/>
                <w:kern w:val="0"/>
                <w:sz w:val="28"/>
                <w:szCs w:val="28"/>
              </w:rPr>
            </w:pPr>
            <w:r>
              <w:rPr>
                <w:rFonts w:ascii="宋体" w:hAnsi="宋体" w:cs="宋体"/>
                <w:kern w:val="0"/>
                <w:sz w:val="28"/>
                <w:szCs w:val="28"/>
              </w:rPr>
              <w:t>3.54</w:t>
            </w:r>
          </w:p>
        </w:tc>
        <w:tc>
          <w:tcPr>
            <w:tcW w:w="1599" w:type="pct"/>
            <w:tcBorders>
              <w:top w:val="nil"/>
              <w:left w:val="single" w:color="auto" w:sz="4" w:space="0"/>
              <w:bottom w:val="nil"/>
              <w:right w:val="nil"/>
            </w:tcBorders>
            <w:noWrap/>
            <w:vAlign w:val="center"/>
          </w:tcPr>
          <w:p>
            <w:pPr>
              <w:widowControl/>
              <w:tabs>
                <w:tab w:val="left" w:pos="4200"/>
              </w:tabs>
              <w:spacing w:line="400" w:lineRule="exact"/>
              <w:jc w:val="center"/>
              <w:rPr>
                <w:rFonts w:ascii="宋体"/>
                <w:kern w:val="0"/>
                <w:sz w:val="28"/>
                <w:szCs w:val="28"/>
              </w:rPr>
            </w:pPr>
            <w:r>
              <w:rPr>
                <w:rFonts w:ascii="宋体" w:hAnsi="宋体" w:cs="宋体"/>
                <w:kern w:val="0"/>
                <w:sz w:val="28"/>
                <w:szCs w:val="28"/>
              </w:rPr>
              <w:t>23.0</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534" w:type="pct"/>
            <w:tcBorders>
              <w:top w:val="nil"/>
              <w:left w:val="nil"/>
              <w:bottom w:val="single" w:color="auto" w:sz="4" w:space="0"/>
              <w:right w:val="single" w:color="auto" w:sz="4" w:space="0"/>
            </w:tcBorders>
            <w:noWrap/>
            <w:vAlign w:val="center"/>
          </w:tcPr>
          <w:p>
            <w:pPr>
              <w:widowControl/>
              <w:tabs>
                <w:tab w:val="left" w:pos="4200"/>
              </w:tabs>
              <w:spacing w:line="400" w:lineRule="exact"/>
              <w:ind w:firstLine="8" w:firstLineChars="3"/>
              <w:jc w:val="center"/>
              <w:rPr>
                <w:rFonts w:ascii="宋体"/>
                <w:kern w:val="0"/>
                <w:sz w:val="28"/>
                <w:szCs w:val="28"/>
              </w:rPr>
            </w:pPr>
            <w:r>
              <w:rPr>
                <w:rFonts w:hint="eastAsia" w:ascii="宋体" w:hAnsi="宋体" w:cs="宋体"/>
                <w:kern w:val="0"/>
                <w:sz w:val="28"/>
                <w:szCs w:val="28"/>
              </w:rPr>
              <w:t>其他类型车</w:t>
            </w:r>
          </w:p>
        </w:tc>
        <w:tc>
          <w:tcPr>
            <w:tcW w:w="1867" w:type="pct"/>
            <w:tcBorders>
              <w:top w:val="nil"/>
              <w:left w:val="single" w:color="auto" w:sz="4" w:space="0"/>
              <w:bottom w:val="single" w:color="auto" w:sz="4" w:space="0"/>
              <w:right w:val="single" w:color="auto" w:sz="4" w:space="0"/>
            </w:tcBorders>
            <w:noWrap/>
            <w:vAlign w:val="center"/>
          </w:tcPr>
          <w:p>
            <w:pPr>
              <w:widowControl/>
              <w:tabs>
                <w:tab w:val="left" w:pos="4200"/>
              </w:tabs>
              <w:spacing w:line="400" w:lineRule="exact"/>
              <w:jc w:val="center"/>
              <w:rPr>
                <w:rFonts w:ascii="宋体"/>
                <w:kern w:val="0"/>
                <w:sz w:val="28"/>
                <w:szCs w:val="28"/>
              </w:rPr>
            </w:pPr>
            <w:r>
              <w:rPr>
                <w:rFonts w:ascii="宋体" w:hAnsi="宋体" w:cs="宋体"/>
                <w:kern w:val="0"/>
                <w:sz w:val="28"/>
                <w:szCs w:val="28"/>
              </w:rPr>
              <w:t>5.60</w:t>
            </w:r>
          </w:p>
        </w:tc>
        <w:tc>
          <w:tcPr>
            <w:tcW w:w="1599" w:type="pct"/>
            <w:tcBorders>
              <w:top w:val="nil"/>
              <w:left w:val="single" w:color="auto" w:sz="4" w:space="0"/>
              <w:bottom w:val="single" w:color="auto" w:sz="4" w:space="0"/>
              <w:right w:val="nil"/>
            </w:tcBorders>
            <w:noWrap/>
            <w:vAlign w:val="center"/>
          </w:tcPr>
          <w:p>
            <w:pPr>
              <w:widowControl/>
              <w:tabs>
                <w:tab w:val="left" w:pos="4200"/>
              </w:tabs>
              <w:spacing w:line="400" w:lineRule="exact"/>
              <w:jc w:val="center"/>
              <w:rPr>
                <w:rFonts w:ascii="宋体"/>
                <w:kern w:val="0"/>
                <w:sz w:val="28"/>
                <w:szCs w:val="28"/>
              </w:rPr>
            </w:pPr>
            <w:r>
              <w:rPr>
                <w:rFonts w:ascii="宋体" w:hAnsi="宋体" w:cs="宋体"/>
                <w:kern w:val="0"/>
                <w:sz w:val="28"/>
                <w:szCs w:val="28"/>
              </w:rPr>
              <w:t>12.9</w:t>
            </w:r>
          </w:p>
        </w:tc>
      </w:tr>
    </w:tbl>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2010</w:t>
      </w:r>
      <w:r>
        <w:rPr>
          <w:rFonts w:hint="eastAsia" w:ascii="宋体" w:hAnsi="宋体" w:cs="仿宋_GB2312"/>
          <w:sz w:val="28"/>
          <w:szCs w:val="28"/>
        </w:rPr>
        <w:t>年该市新注册车</w:t>
      </w:r>
      <w:r>
        <w:rPr>
          <w:rFonts w:ascii="宋体" w:hAnsi="宋体" w:cs="仿宋_GB2312"/>
          <w:sz w:val="28"/>
          <w:szCs w:val="28"/>
        </w:rPr>
        <w:t>39.76</w:t>
      </w:r>
      <w:r>
        <w:rPr>
          <w:rFonts w:hint="eastAsia" w:ascii="宋体" w:hAnsi="宋体" w:cs="仿宋_GB2312"/>
          <w:sz w:val="28"/>
          <w:szCs w:val="28"/>
        </w:rPr>
        <w:t>万辆，同比增长</w:t>
      </w:r>
      <w:r>
        <w:rPr>
          <w:rFonts w:ascii="宋体" w:hAnsi="宋体" w:cs="仿宋_GB2312"/>
          <w:sz w:val="28"/>
          <w:szCs w:val="28"/>
        </w:rPr>
        <w:t>44.1%</w:t>
      </w:r>
      <w:r>
        <w:rPr>
          <w:rFonts w:hint="eastAsia" w:ascii="宋体" w:hAnsi="宋体" w:cs="仿宋_GB2312"/>
          <w:sz w:val="28"/>
          <w:szCs w:val="28"/>
        </w:rPr>
        <w:t>，其中新注册汽车</w:t>
      </w:r>
      <w:r>
        <w:rPr>
          <w:rFonts w:ascii="宋体" w:hAnsi="宋体" w:cs="仿宋_GB2312"/>
          <w:sz w:val="28"/>
          <w:szCs w:val="28"/>
        </w:rPr>
        <w:t>33.79</w:t>
      </w:r>
      <w:r>
        <w:rPr>
          <w:rFonts w:hint="eastAsia" w:ascii="宋体" w:hAnsi="宋体" w:cs="仿宋_GB2312"/>
          <w:sz w:val="28"/>
          <w:szCs w:val="28"/>
        </w:rPr>
        <w:t>万辆，增长</w:t>
      </w:r>
      <w:r>
        <w:rPr>
          <w:rFonts w:ascii="宋体" w:hAnsi="宋体" w:cs="仿宋_GB2312"/>
          <w:sz w:val="28"/>
          <w:szCs w:val="28"/>
        </w:rPr>
        <w:t>50.1%</w:t>
      </w:r>
      <w:r>
        <w:rPr>
          <w:rFonts w:hint="eastAsia" w:ascii="宋体" w:hAnsi="宋体" w:cs="仿宋_GB2312"/>
          <w:sz w:val="28"/>
          <w:szCs w:val="28"/>
        </w:rPr>
        <w:t>。全年报废车辆</w:t>
      </w:r>
      <w:r>
        <w:rPr>
          <w:rFonts w:ascii="宋体" w:hAnsi="宋体" w:cs="仿宋_GB2312"/>
          <w:sz w:val="28"/>
          <w:szCs w:val="28"/>
        </w:rPr>
        <w:t>5.81</w:t>
      </w:r>
      <w:r>
        <w:rPr>
          <w:rFonts w:hint="eastAsia" w:ascii="宋体" w:hAnsi="宋体" w:cs="仿宋_GB2312"/>
          <w:sz w:val="28"/>
          <w:szCs w:val="28"/>
        </w:rPr>
        <w:t>万辆，下降</w:t>
      </w:r>
      <w:r>
        <w:rPr>
          <w:rFonts w:ascii="宋体" w:hAnsi="宋体" w:cs="仿宋_GB2312"/>
          <w:sz w:val="28"/>
          <w:szCs w:val="28"/>
        </w:rPr>
        <w:t>53.1%</w:t>
      </w:r>
      <w:r>
        <w:rPr>
          <w:rFonts w:hint="eastAsia" w:ascii="宋体" w:hAnsi="宋体" w:cs="仿宋_GB2312"/>
          <w:sz w:val="28"/>
          <w:szCs w:val="28"/>
        </w:rPr>
        <w:t>。</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2010</w:t>
      </w:r>
      <w:r>
        <w:rPr>
          <w:rFonts w:hint="eastAsia" w:ascii="宋体" w:hAnsi="宋体" w:cs="仿宋_GB2312"/>
          <w:sz w:val="28"/>
          <w:szCs w:val="28"/>
        </w:rPr>
        <w:t>年末，该市机动车驾驶人员数量为</w:t>
      </w:r>
      <w:r>
        <w:rPr>
          <w:rFonts w:ascii="宋体" w:hAnsi="宋体" w:cs="仿宋_GB2312"/>
          <w:sz w:val="28"/>
          <w:szCs w:val="28"/>
        </w:rPr>
        <w:t>448.48</w:t>
      </w:r>
      <w:r>
        <w:rPr>
          <w:rFonts w:hint="eastAsia" w:ascii="宋体" w:hAnsi="宋体" w:cs="仿宋_GB2312"/>
          <w:sz w:val="28"/>
          <w:szCs w:val="28"/>
        </w:rPr>
        <w:t>万人，同比增长</w:t>
      </w:r>
      <w:r>
        <w:rPr>
          <w:rFonts w:ascii="宋体" w:hAnsi="宋体" w:cs="仿宋_GB2312"/>
          <w:sz w:val="28"/>
          <w:szCs w:val="28"/>
        </w:rPr>
        <w:t>9.2%</w:t>
      </w:r>
      <w:r>
        <w:rPr>
          <w:rFonts w:hint="eastAsia" w:ascii="宋体" w:hAnsi="宋体" w:cs="仿宋_GB2312"/>
          <w:sz w:val="28"/>
          <w:szCs w:val="28"/>
        </w:rPr>
        <w:t>，其中汽车驾驶人员</w:t>
      </w:r>
      <w:r>
        <w:rPr>
          <w:rFonts w:ascii="宋体" w:hAnsi="宋体" w:cs="仿宋_GB2312"/>
          <w:sz w:val="28"/>
          <w:szCs w:val="28"/>
        </w:rPr>
        <w:t>412.56</w:t>
      </w:r>
      <w:r>
        <w:rPr>
          <w:rFonts w:hint="eastAsia" w:ascii="宋体" w:hAnsi="宋体" w:cs="仿宋_GB2312"/>
          <w:sz w:val="28"/>
          <w:szCs w:val="28"/>
        </w:rPr>
        <w:t>万人，增长</w:t>
      </w:r>
      <w:r>
        <w:rPr>
          <w:rFonts w:ascii="宋体" w:hAnsi="宋体" w:cs="仿宋_GB2312"/>
          <w:sz w:val="28"/>
          <w:szCs w:val="28"/>
        </w:rPr>
        <w:t>13.7%</w:t>
      </w:r>
      <w:r>
        <w:rPr>
          <w:rFonts w:hint="eastAsia" w:ascii="宋体" w:hAnsi="宋体" w:cs="仿宋_GB2312"/>
          <w:sz w:val="28"/>
          <w:szCs w:val="28"/>
        </w:rPr>
        <w:t>。</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1</w:t>
      </w:r>
      <w:r>
        <w:rPr>
          <w:rFonts w:hint="eastAsia" w:ascii="宋体" w:hAnsi="宋体" w:cs="仿宋_GB2312"/>
          <w:sz w:val="28"/>
          <w:szCs w:val="28"/>
        </w:rPr>
        <w:t>．</w:t>
      </w:r>
      <w:r>
        <w:rPr>
          <w:rFonts w:ascii="宋体" w:hAnsi="宋体" w:cs="仿宋_GB2312"/>
          <w:sz w:val="28"/>
          <w:szCs w:val="28"/>
        </w:rPr>
        <w:t>2009</w:t>
      </w:r>
      <w:r>
        <w:rPr>
          <w:rFonts w:hint="eastAsia" w:ascii="宋体" w:hAnsi="宋体" w:cs="仿宋_GB2312"/>
          <w:sz w:val="28"/>
          <w:szCs w:val="28"/>
        </w:rPr>
        <w:t>年末，该市民用车辆中进口车所占比重约为多少？</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A</w:t>
      </w:r>
      <w:r>
        <w:rPr>
          <w:rFonts w:hint="eastAsia" w:ascii="宋体" w:hAnsi="宋体" w:cs="仿宋_GB2312"/>
          <w:sz w:val="28"/>
          <w:szCs w:val="28"/>
        </w:rPr>
        <w:t>．</w:t>
      </w:r>
      <w:r>
        <w:rPr>
          <w:rFonts w:ascii="宋体" w:hAnsi="宋体" w:cs="仿宋_GB2312"/>
          <w:sz w:val="28"/>
          <w:szCs w:val="28"/>
        </w:rPr>
        <w:t>5%</w:t>
      </w:r>
      <w:r>
        <w:rPr>
          <w:rFonts w:ascii="宋体" w:hAnsi="宋体" w:cs="仿宋_GB2312"/>
          <w:sz w:val="28"/>
          <w:szCs w:val="28"/>
        </w:rPr>
        <w:tab/>
      </w:r>
      <w:r>
        <w:rPr>
          <w:rFonts w:ascii="宋体" w:hAnsi="宋体" w:cs="仿宋_GB2312"/>
          <w:sz w:val="28"/>
          <w:szCs w:val="28"/>
        </w:rPr>
        <w:t>B</w:t>
      </w:r>
      <w:r>
        <w:rPr>
          <w:rFonts w:hint="eastAsia" w:ascii="宋体" w:hAnsi="宋体" w:cs="仿宋_GB2312"/>
          <w:sz w:val="28"/>
          <w:szCs w:val="28"/>
        </w:rPr>
        <w:t>．</w:t>
      </w:r>
      <w:r>
        <w:rPr>
          <w:rFonts w:ascii="宋体" w:hAnsi="宋体" w:cs="仿宋_GB2312"/>
          <w:sz w:val="28"/>
          <w:szCs w:val="28"/>
        </w:rPr>
        <w:t>4%</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C</w:t>
      </w:r>
      <w:r>
        <w:rPr>
          <w:rFonts w:hint="eastAsia" w:ascii="宋体" w:hAnsi="宋体" w:cs="仿宋_GB2312"/>
          <w:sz w:val="28"/>
          <w:szCs w:val="28"/>
        </w:rPr>
        <w:t>．</w:t>
      </w:r>
      <w:r>
        <w:rPr>
          <w:rFonts w:ascii="宋体" w:hAnsi="宋体" w:cs="仿宋_GB2312"/>
          <w:sz w:val="28"/>
          <w:szCs w:val="28"/>
        </w:rPr>
        <w:t xml:space="preserve">3%  </w:t>
      </w:r>
      <w:r>
        <w:rPr>
          <w:rFonts w:ascii="宋体" w:hAnsi="宋体" w:cs="仿宋_GB2312"/>
          <w:sz w:val="28"/>
          <w:szCs w:val="28"/>
        </w:rPr>
        <w:tab/>
      </w:r>
      <w:r>
        <w:rPr>
          <w:rFonts w:ascii="宋体" w:hAnsi="宋体" w:cs="仿宋_GB2312"/>
          <w:sz w:val="28"/>
          <w:szCs w:val="28"/>
        </w:rPr>
        <w:t>D</w:t>
      </w:r>
      <w:r>
        <w:rPr>
          <w:rFonts w:hint="eastAsia" w:ascii="宋体" w:hAnsi="宋体" w:cs="仿宋_GB2312"/>
          <w:sz w:val="28"/>
          <w:szCs w:val="28"/>
        </w:rPr>
        <w:t>．</w:t>
      </w:r>
      <w:r>
        <w:rPr>
          <w:rFonts w:ascii="宋体" w:hAnsi="宋体" w:cs="仿宋_GB2312"/>
          <w:sz w:val="28"/>
          <w:szCs w:val="28"/>
        </w:rPr>
        <w:t>2%</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答案：</w:t>
      </w:r>
      <w:r>
        <w:rPr>
          <w:rFonts w:ascii="宋体" w:hAnsi="宋体" w:cs="仿宋_GB2312"/>
          <w:sz w:val="28"/>
          <w:szCs w:val="28"/>
        </w:rPr>
        <w:t>C</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2</w:t>
      </w:r>
      <w:r>
        <w:rPr>
          <w:rFonts w:hint="eastAsia" w:ascii="宋体" w:hAnsi="宋体" w:cs="仿宋_GB2312"/>
          <w:sz w:val="28"/>
          <w:szCs w:val="28"/>
        </w:rPr>
        <w:t>．下列说法与资料相符的是：</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A</w:t>
      </w:r>
      <w:r>
        <w:rPr>
          <w:rFonts w:hint="eastAsia" w:ascii="宋体" w:hAnsi="宋体" w:cs="仿宋_GB2312"/>
          <w:sz w:val="28"/>
          <w:szCs w:val="28"/>
        </w:rPr>
        <w:t>．</w:t>
      </w:r>
      <w:r>
        <w:rPr>
          <w:rFonts w:ascii="宋体" w:hAnsi="宋体" w:cs="仿宋_GB2312"/>
          <w:sz w:val="28"/>
          <w:szCs w:val="28"/>
        </w:rPr>
        <w:t>2010</w:t>
      </w:r>
      <w:r>
        <w:rPr>
          <w:rFonts w:hint="eastAsia" w:ascii="宋体" w:hAnsi="宋体" w:cs="仿宋_GB2312"/>
          <w:sz w:val="28"/>
          <w:szCs w:val="28"/>
        </w:rPr>
        <w:t>年该市拥有的民用车辆中汽车所占比重超过</w:t>
      </w:r>
      <w:r>
        <w:rPr>
          <w:rFonts w:ascii="宋体" w:hAnsi="宋体" w:cs="仿宋_GB2312"/>
          <w:sz w:val="28"/>
          <w:szCs w:val="28"/>
        </w:rPr>
        <w:t>6</w:t>
      </w:r>
      <w:r>
        <w:rPr>
          <w:rFonts w:hint="eastAsia" w:ascii="宋体" w:hAnsi="宋体" w:cs="仿宋_GB2312"/>
          <w:sz w:val="28"/>
          <w:szCs w:val="28"/>
        </w:rPr>
        <w:t>成</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B</w:t>
      </w:r>
      <w:r>
        <w:rPr>
          <w:rFonts w:hint="eastAsia" w:ascii="宋体" w:hAnsi="宋体" w:cs="仿宋_GB2312"/>
          <w:sz w:val="28"/>
          <w:szCs w:val="28"/>
        </w:rPr>
        <w:t>．</w:t>
      </w:r>
      <w:r>
        <w:rPr>
          <w:rFonts w:ascii="宋体" w:hAnsi="宋体" w:cs="仿宋_GB2312"/>
          <w:sz w:val="28"/>
          <w:szCs w:val="28"/>
        </w:rPr>
        <w:t>2010</w:t>
      </w:r>
      <w:r>
        <w:rPr>
          <w:rFonts w:hint="eastAsia" w:ascii="宋体" w:hAnsi="宋体" w:cs="仿宋_GB2312"/>
          <w:sz w:val="28"/>
          <w:szCs w:val="28"/>
        </w:rPr>
        <w:t>年该市汽车拥有量大幅上涨的原因是报废车辆数量大幅下降</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C</w:t>
      </w:r>
      <w:r>
        <w:rPr>
          <w:rFonts w:hint="eastAsia" w:ascii="宋体" w:hAnsi="宋体" w:cs="仿宋_GB2312"/>
          <w:sz w:val="28"/>
          <w:szCs w:val="28"/>
        </w:rPr>
        <w:t>．</w:t>
      </w:r>
      <w:r>
        <w:rPr>
          <w:rFonts w:ascii="宋体" w:hAnsi="宋体" w:cs="仿宋_GB2312"/>
          <w:sz w:val="28"/>
          <w:szCs w:val="28"/>
        </w:rPr>
        <w:t>2010</w:t>
      </w:r>
      <w:r>
        <w:rPr>
          <w:rFonts w:hint="eastAsia" w:ascii="宋体" w:hAnsi="宋体" w:cs="仿宋_GB2312"/>
          <w:sz w:val="28"/>
          <w:szCs w:val="28"/>
        </w:rPr>
        <w:t>年该市进口车拥有量同比增速低于民用车辆平均水平</w:t>
      </w:r>
    </w:p>
    <w:p>
      <w:pPr>
        <w:tabs>
          <w:tab w:val="left" w:pos="4200"/>
        </w:tabs>
        <w:spacing w:line="560" w:lineRule="exact"/>
        <w:ind w:firstLine="560" w:firstLineChars="200"/>
        <w:rPr>
          <w:rFonts w:ascii="宋体" w:hAnsi="宋体" w:cs="仿宋_GB2312"/>
          <w:sz w:val="28"/>
          <w:szCs w:val="28"/>
        </w:rPr>
      </w:pPr>
      <w:r>
        <w:rPr>
          <w:rFonts w:ascii="宋体" w:hAnsi="宋体" w:cs="仿宋_GB2312"/>
          <w:sz w:val="28"/>
          <w:szCs w:val="28"/>
        </w:rPr>
        <w:t>D</w:t>
      </w:r>
      <w:r>
        <w:rPr>
          <w:rFonts w:hint="eastAsia" w:ascii="宋体" w:hAnsi="宋体" w:cs="仿宋_GB2312"/>
          <w:sz w:val="28"/>
          <w:szCs w:val="28"/>
        </w:rPr>
        <w:t>．</w:t>
      </w:r>
      <w:r>
        <w:rPr>
          <w:rFonts w:ascii="宋体" w:hAnsi="宋体" w:cs="仿宋_GB2312"/>
          <w:sz w:val="28"/>
          <w:szCs w:val="28"/>
        </w:rPr>
        <w:t>2009</w:t>
      </w:r>
      <w:r>
        <w:rPr>
          <w:rFonts w:hint="eastAsia" w:ascii="宋体" w:hAnsi="宋体" w:cs="仿宋_GB2312"/>
          <w:sz w:val="28"/>
          <w:szCs w:val="28"/>
        </w:rPr>
        <w:t>年该市新注册车辆数多于报废车辆数</w:t>
      </w:r>
    </w:p>
    <w:p>
      <w:pPr>
        <w:tabs>
          <w:tab w:val="left" w:pos="4200"/>
        </w:tabs>
        <w:spacing w:line="560" w:lineRule="exact"/>
        <w:ind w:firstLine="560" w:firstLineChars="200"/>
        <w:rPr>
          <w:rFonts w:ascii="宋体" w:hAnsi="宋体" w:cs="仿宋_GB2312"/>
          <w:sz w:val="28"/>
          <w:szCs w:val="28"/>
        </w:rPr>
      </w:pPr>
      <w:r>
        <w:rPr>
          <w:rFonts w:hint="eastAsia" w:ascii="宋体" w:hAnsi="宋体" w:cs="仿宋_GB2312"/>
          <w:sz w:val="28"/>
          <w:szCs w:val="28"/>
        </w:rPr>
        <w:t>答案：</w:t>
      </w:r>
      <w:r>
        <w:rPr>
          <w:rFonts w:ascii="宋体" w:hAnsi="宋体" w:cs="仿宋_GB2312"/>
          <w:sz w:val="28"/>
          <w:szCs w:val="28"/>
        </w:rPr>
        <w:t>D</w:t>
      </w:r>
    </w:p>
    <w:p>
      <w:pPr>
        <w:tabs>
          <w:tab w:val="left" w:pos="4200"/>
        </w:tabs>
        <w:spacing w:line="560" w:lineRule="exact"/>
        <w:ind w:firstLine="560" w:firstLineChars="200"/>
        <w:rPr>
          <w:rFonts w:ascii="宋体" w:hAnsi="宋体" w:cs="仿宋_GB2312"/>
          <w:sz w:val="28"/>
          <w:szCs w:val="28"/>
        </w:rPr>
      </w:pPr>
    </w:p>
    <w:p>
      <w:pPr>
        <w:pStyle w:val="4"/>
        <w:tabs>
          <w:tab w:val="left" w:pos="4200"/>
        </w:tabs>
        <w:ind w:firstLine="640" w:firstLineChars="200"/>
        <w:jc w:val="both"/>
        <w:rPr>
          <w:rFonts w:ascii="黑体" w:hAnsi="黑体" w:eastAsia="黑体" w:cs="黑体"/>
          <w:b w:val="0"/>
        </w:rPr>
      </w:pPr>
      <w:bookmarkStart w:id="1" w:name="_Toc413416773"/>
      <w:r>
        <w:rPr>
          <w:rFonts w:hint="eastAsia" w:ascii="黑体" w:hAnsi="黑体" w:eastAsia="黑体" w:cs="黑体"/>
          <w:b w:val="0"/>
        </w:rPr>
        <w:t>二、《综合应用能力》</w:t>
      </w:r>
      <w:bookmarkEnd w:id="1"/>
    </w:p>
    <w:p>
      <w:pPr>
        <w:spacing w:line="560" w:lineRule="exact"/>
        <w:ind w:firstLine="562" w:firstLineChars="200"/>
        <w:rPr>
          <w:rFonts w:ascii="楷体_GB2312" w:hAnsi="宋体" w:eastAsia="楷体_GB2312" w:cs="楷体"/>
          <w:b/>
          <w:sz w:val="28"/>
          <w:szCs w:val="28"/>
        </w:rPr>
      </w:pPr>
      <w:r>
        <w:rPr>
          <w:rFonts w:hint="eastAsia" w:ascii="楷体_GB2312" w:hAnsi="宋体" w:eastAsia="楷体_GB2312" w:cs="楷体"/>
          <w:b/>
          <w:sz w:val="28"/>
          <w:szCs w:val="28"/>
        </w:rPr>
        <w:t>（一）作答要求</w:t>
      </w:r>
    </w:p>
    <w:p>
      <w:pPr>
        <w:spacing w:line="560" w:lineRule="exact"/>
        <w:ind w:firstLine="560" w:firstLineChars="200"/>
        <w:rPr>
          <w:rFonts w:ascii="仿宋_GB2312" w:hAnsi="宋体"/>
          <w:sz w:val="28"/>
          <w:szCs w:val="28"/>
        </w:rPr>
      </w:pPr>
      <w:r>
        <w:rPr>
          <w:rFonts w:hint="eastAsia" w:ascii="仿宋_GB2312" w:hAnsi="宋体"/>
          <w:sz w:val="28"/>
          <w:szCs w:val="28"/>
        </w:rPr>
        <w:t>《综合应用能力》考试时限12</w:t>
      </w:r>
      <w:r>
        <w:rPr>
          <w:rFonts w:ascii="仿宋_GB2312" w:hAnsi="宋体"/>
          <w:sz w:val="28"/>
          <w:szCs w:val="28"/>
        </w:rPr>
        <w:t>0分钟，满分1</w:t>
      </w:r>
      <w:r>
        <w:rPr>
          <w:rFonts w:hint="eastAsia" w:ascii="仿宋_GB2312" w:hAnsi="宋体"/>
          <w:sz w:val="28"/>
          <w:szCs w:val="28"/>
        </w:rPr>
        <w:t>5</w:t>
      </w:r>
      <w:r>
        <w:rPr>
          <w:rFonts w:ascii="仿宋_GB2312" w:hAnsi="宋体"/>
          <w:sz w:val="28"/>
          <w:szCs w:val="28"/>
        </w:rPr>
        <w:t>0分。</w:t>
      </w:r>
    </w:p>
    <w:p>
      <w:pPr>
        <w:spacing w:line="560" w:lineRule="exact"/>
        <w:ind w:firstLine="560" w:firstLineChars="200"/>
        <w:rPr>
          <w:rFonts w:ascii="仿宋_GB2312"/>
          <w:sz w:val="28"/>
          <w:szCs w:val="28"/>
        </w:rPr>
      </w:pPr>
      <w:r>
        <w:rPr>
          <w:rFonts w:hint="eastAsia" w:ascii="仿宋_GB2312"/>
          <w:sz w:val="28"/>
          <w:szCs w:val="28"/>
        </w:rPr>
        <w:t>报考者务必携带的考试文具包括黑色字迹的钢笔或签字笔、2B铅笔和橡皮等。报考者必须用黑色字迹的钢笔或签字笔将自己的姓名和准考证号填写在试卷和答题卡上指定的位置，再用2B铅笔在答题卡指定位置上填涂准考证号。作答时，必须用黑色字迹的钢笔或签字笔在答题卡指定区域内用中文作答，在非指定区域作答或使用非指定用笔作答一律无效。</w:t>
      </w:r>
    </w:p>
    <w:p>
      <w:pPr>
        <w:spacing w:line="560" w:lineRule="exact"/>
        <w:ind w:firstLine="562" w:firstLineChars="200"/>
        <w:rPr>
          <w:rFonts w:ascii="楷体_GB2312" w:hAnsi="宋体" w:eastAsia="楷体_GB2312" w:cs="楷体"/>
          <w:b/>
          <w:sz w:val="28"/>
          <w:szCs w:val="28"/>
        </w:rPr>
      </w:pPr>
      <w:r>
        <w:rPr>
          <w:rFonts w:hint="eastAsia" w:ascii="楷体_GB2312" w:hAnsi="宋体" w:eastAsia="楷体_GB2312" w:cs="楷体"/>
          <w:b/>
          <w:sz w:val="28"/>
          <w:szCs w:val="28"/>
        </w:rPr>
        <w:t>（二）测查目标、内容和测评要素</w:t>
      </w:r>
    </w:p>
    <w:p>
      <w:pPr>
        <w:tabs>
          <w:tab w:val="left" w:pos="4200"/>
        </w:tabs>
        <w:spacing w:line="560" w:lineRule="exact"/>
        <w:ind w:firstLine="562" w:firstLineChars="200"/>
        <w:rPr>
          <w:rFonts w:ascii="仿宋_GB2312" w:cs="仿宋_GB2312"/>
          <w:b/>
          <w:bCs/>
          <w:sz w:val="28"/>
          <w:szCs w:val="28"/>
        </w:rPr>
      </w:pPr>
      <w:r>
        <w:rPr>
          <w:rFonts w:hint="eastAsia" w:ascii="仿宋_GB2312" w:cs="仿宋_GB2312"/>
          <w:b/>
          <w:bCs/>
          <w:sz w:val="28"/>
          <w:szCs w:val="28"/>
        </w:rPr>
        <w:t>1.测查目标</w:t>
      </w:r>
    </w:p>
    <w:p>
      <w:pPr>
        <w:spacing w:line="560" w:lineRule="exact"/>
        <w:ind w:firstLine="560" w:firstLineChars="200"/>
        <w:rPr>
          <w:rFonts w:ascii="仿宋_GB2312" w:hAnsi="宋体"/>
          <w:sz w:val="28"/>
          <w:szCs w:val="28"/>
        </w:rPr>
      </w:pPr>
      <w:r>
        <w:rPr>
          <w:rFonts w:hint="eastAsia" w:ascii="仿宋_GB2312" w:hAnsi="宋体"/>
          <w:sz w:val="28"/>
          <w:szCs w:val="28"/>
        </w:rPr>
        <w:t>《综合应用能力》是针对事业单位公开招聘工作人员而设置的考试科目，旨在测查应试人员综合运用相关知识和技能发现问题、分析问题、解决问题的能力。</w:t>
      </w:r>
    </w:p>
    <w:p>
      <w:pPr>
        <w:tabs>
          <w:tab w:val="left" w:pos="4200"/>
        </w:tabs>
        <w:spacing w:line="560" w:lineRule="exact"/>
        <w:ind w:firstLine="562" w:firstLineChars="200"/>
        <w:rPr>
          <w:rFonts w:ascii="仿宋_GB2312" w:cs="仿宋_GB2312"/>
          <w:b/>
          <w:bCs/>
          <w:sz w:val="28"/>
          <w:szCs w:val="28"/>
        </w:rPr>
      </w:pPr>
      <w:r>
        <w:rPr>
          <w:rFonts w:hint="eastAsia" w:ascii="仿宋_GB2312" w:cs="仿宋_GB2312"/>
          <w:b/>
          <w:bCs/>
          <w:sz w:val="28"/>
          <w:szCs w:val="28"/>
        </w:rPr>
        <w:t>2.测查内容和测评要素</w:t>
      </w:r>
    </w:p>
    <w:p>
      <w:pPr>
        <w:spacing w:line="560" w:lineRule="exact"/>
        <w:ind w:firstLine="560" w:firstLineChars="200"/>
        <w:rPr>
          <w:rFonts w:ascii="仿宋_GB2312" w:hAnsi="宋体"/>
          <w:sz w:val="28"/>
          <w:szCs w:val="28"/>
        </w:rPr>
      </w:pPr>
      <w:r>
        <w:rPr>
          <w:rFonts w:hint="eastAsia" w:ascii="仿宋_GB2312" w:hAnsi="宋体"/>
          <w:sz w:val="28"/>
          <w:szCs w:val="28"/>
        </w:rPr>
        <w:t>主要测查应试人员的岗位角色意识、分析判断能力、计划与控制能力、沟通协调能力和文字表达能力。</w:t>
      </w:r>
    </w:p>
    <w:p>
      <w:pPr>
        <w:spacing w:line="560" w:lineRule="exact"/>
        <w:ind w:firstLine="562" w:firstLineChars="200"/>
        <w:rPr>
          <w:rFonts w:ascii="仿宋_GB2312" w:hAnsi="宋体"/>
          <w:sz w:val="28"/>
          <w:szCs w:val="28"/>
        </w:rPr>
      </w:pPr>
      <w:r>
        <w:rPr>
          <w:rFonts w:hint="eastAsia" w:ascii="仿宋_GB2312" w:hAnsi="宋体"/>
          <w:b/>
          <w:sz w:val="28"/>
          <w:szCs w:val="28"/>
        </w:rPr>
        <w:t>岗位角色意识</w:t>
      </w:r>
      <w:r>
        <w:rPr>
          <w:rFonts w:hint="eastAsia" w:ascii="仿宋_GB2312" w:hAnsi="宋体"/>
          <w:sz w:val="28"/>
          <w:szCs w:val="28"/>
        </w:rPr>
        <w:t>：对岗位的职责权限有清晰认识，从而能够据此理解、思考和解决问题，具有服务意识。</w:t>
      </w:r>
    </w:p>
    <w:p>
      <w:pPr>
        <w:spacing w:line="560" w:lineRule="exact"/>
        <w:ind w:firstLine="562" w:firstLineChars="200"/>
        <w:rPr>
          <w:rFonts w:ascii="仿宋_GB2312" w:hAnsi="宋体"/>
          <w:sz w:val="28"/>
          <w:szCs w:val="28"/>
        </w:rPr>
      </w:pPr>
      <w:r>
        <w:rPr>
          <w:rFonts w:hint="eastAsia" w:ascii="仿宋_GB2312" w:hAnsi="宋体"/>
          <w:b/>
          <w:sz w:val="28"/>
          <w:szCs w:val="28"/>
        </w:rPr>
        <w:t>分析判断能力</w:t>
      </w:r>
      <w:r>
        <w:rPr>
          <w:rFonts w:hint="eastAsia" w:ascii="仿宋_GB2312" w:hAnsi="宋体"/>
          <w:sz w:val="28"/>
          <w:szCs w:val="28"/>
        </w:rPr>
        <w:t>：面对工作情境，能够发现和界定问题，分析问题原因及影响因素，做出恰当的评估和判断。</w:t>
      </w:r>
    </w:p>
    <w:p>
      <w:pPr>
        <w:spacing w:line="560" w:lineRule="exact"/>
        <w:ind w:firstLine="562" w:firstLineChars="200"/>
        <w:rPr>
          <w:rFonts w:ascii="仿宋_GB2312" w:hAnsi="宋体"/>
          <w:sz w:val="28"/>
          <w:szCs w:val="28"/>
        </w:rPr>
      </w:pPr>
      <w:r>
        <w:rPr>
          <w:rFonts w:hint="eastAsia" w:ascii="仿宋_GB2312" w:hAnsi="宋体"/>
          <w:b/>
          <w:sz w:val="28"/>
          <w:szCs w:val="28"/>
        </w:rPr>
        <w:t>计划与控制能力</w:t>
      </w:r>
      <w:r>
        <w:rPr>
          <w:rFonts w:hint="eastAsia" w:ascii="仿宋_GB2312" w:hAnsi="宋体"/>
          <w:sz w:val="28"/>
          <w:szCs w:val="28"/>
        </w:rPr>
        <w:t>：能够根据岗位职责和工作要求，利用可支配的资源，设想可以解决问题的方式方法，使工作按预想的进程和方向发展，以获得期望的结果。</w:t>
      </w:r>
    </w:p>
    <w:p>
      <w:pPr>
        <w:spacing w:line="560" w:lineRule="exact"/>
        <w:ind w:firstLine="562" w:firstLineChars="200"/>
        <w:rPr>
          <w:rFonts w:ascii="仿宋_GB2312" w:hAnsi="宋体"/>
          <w:sz w:val="28"/>
          <w:szCs w:val="28"/>
        </w:rPr>
      </w:pPr>
      <w:r>
        <w:rPr>
          <w:rFonts w:hint="eastAsia" w:ascii="仿宋_GB2312" w:hAnsi="宋体"/>
          <w:b/>
          <w:sz w:val="28"/>
          <w:szCs w:val="28"/>
        </w:rPr>
        <w:t>沟通协调能力</w:t>
      </w:r>
      <w:r>
        <w:rPr>
          <w:rFonts w:hint="eastAsia" w:ascii="仿宋_GB2312" w:hAnsi="宋体"/>
          <w:sz w:val="28"/>
          <w:szCs w:val="28"/>
        </w:rPr>
        <w:t>：能够在工作中向有关人员征询意见，传递信息，施加影响，获得支持与配合。</w:t>
      </w:r>
    </w:p>
    <w:p>
      <w:pPr>
        <w:spacing w:line="560" w:lineRule="exact"/>
        <w:ind w:firstLine="562" w:firstLineChars="200"/>
        <w:rPr>
          <w:rFonts w:ascii="仿宋_GB2312" w:hAnsi="宋体"/>
          <w:sz w:val="28"/>
          <w:szCs w:val="28"/>
        </w:rPr>
      </w:pPr>
      <w:r>
        <w:rPr>
          <w:rFonts w:hint="eastAsia" w:ascii="仿宋_GB2312" w:hAnsi="宋体"/>
          <w:b/>
          <w:sz w:val="28"/>
          <w:szCs w:val="28"/>
        </w:rPr>
        <w:t>文字表达能力</w:t>
      </w:r>
      <w:r>
        <w:rPr>
          <w:rFonts w:hint="eastAsia" w:ascii="仿宋_GB2312" w:hAnsi="宋体"/>
          <w:sz w:val="28"/>
          <w:szCs w:val="28"/>
        </w:rPr>
        <w:t>：能够根据工作需要撰写文稿，准确和清晰地进行书面表达。</w:t>
      </w:r>
    </w:p>
    <w:p>
      <w:pPr>
        <w:tabs>
          <w:tab w:val="left" w:pos="4200"/>
        </w:tabs>
        <w:spacing w:line="560" w:lineRule="exact"/>
        <w:ind w:firstLine="562" w:firstLineChars="200"/>
        <w:rPr>
          <w:rFonts w:ascii="仿宋_GB2312" w:cs="仿宋_GB2312"/>
          <w:b/>
          <w:bCs/>
          <w:sz w:val="28"/>
          <w:szCs w:val="28"/>
        </w:rPr>
      </w:pPr>
      <w:r>
        <w:rPr>
          <w:rFonts w:hint="eastAsia" w:ascii="仿宋_GB2312" w:cs="仿宋_GB2312"/>
          <w:b/>
          <w:bCs/>
          <w:sz w:val="28"/>
          <w:szCs w:val="28"/>
        </w:rPr>
        <w:t>3.试卷结构</w:t>
      </w:r>
    </w:p>
    <w:p>
      <w:pPr>
        <w:spacing w:line="560" w:lineRule="exact"/>
        <w:ind w:firstLine="560" w:firstLineChars="200"/>
        <w:rPr>
          <w:rFonts w:ascii="仿宋_GB2312" w:hAnsi="宋体"/>
          <w:sz w:val="28"/>
          <w:szCs w:val="28"/>
        </w:rPr>
      </w:pPr>
      <w:r>
        <w:rPr>
          <w:rFonts w:hint="eastAsia" w:ascii="仿宋_GB2312" w:hAnsi="宋体"/>
          <w:sz w:val="28"/>
          <w:szCs w:val="28"/>
        </w:rPr>
        <w:t>试卷由注意事项、背景材料和试题三部分组成，以主观性试题为主。试题内容主要涉及事业单位岗位典型的工作任务，如观点归纳、资料分类、草拟信函、会务安排、应急处理、联络通知等。</w:t>
      </w:r>
    </w:p>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New Century Schoolbook">
    <w:altName w:val="Times New Roman"/>
    <w:panose1 w:val="00000000000000000000"/>
    <w:charset w:val="00"/>
    <w:family w:val="roman"/>
    <w:pitch w:val="default"/>
    <w:sig w:usb0="00000000" w:usb1="00000000" w:usb2="00000000" w:usb3="00000000" w:csb0="00000093" w:csb1="0000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rPr>
        <w:rStyle w:val="18"/>
      </w:rPr>
      <w:fldChar w:fldCharType="begin"/>
    </w:r>
    <w:r>
      <w:rPr>
        <w:rStyle w:val="18"/>
      </w:rPr>
      <w:instrText xml:space="preserve">PAGE  </w:instrText>
    </w:r>
    <w:r>
      <w:rPr>
        <w:rStyle w:val="18"/>
      </w:rPr>
      <w:fldChar w:fldCharType="end"/>
    </w:r>
  </w:p>
  <w:p>
    <w:pPr>
      <w:pStyle w:val="11"/>
      <w:ind w:right="360" w:firstLine="360"/>
    </w:pPr>
  </w:p>
</w:ft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41"/>
    <customShpInfo spid="_x0000_s1044"/>
    <customShpInfo spid="_x0000_s1045"/>
    <customShpInfo spid="_x0000_s1043"/>
    <customShpInfo spid="_x0000_s1046"/>
    <customShpInfo spid="_x0000_s1047"/>
    <customShpInfo spid="_x0000_s1042"/>
    <customShpInfo spid="_x0000_s1049"/>
    <customShpInfo spid="_x0000_s1050"/>
    <customShpInfo spid="_x0000_s1051"/>
    <customShpInfo spid="_x0000_s1052"/>
    <customShpInfo spid="_x0000_s1048"/>
    <customShpInfo spid="_x0000_s1054"/>
    <customShpInfo spid="_x0000_s1055"/>
    <customShpInfo spid="_x0000_s1056"/>
    <customShpInfo spid="_x0000_s1057"/>
    <customShpInfo spid="_x0000_s1053"/>
    <customShpInfo spid="_x0000_s1040"/>
    <customShpInfo spid="_x0000_s1059"/>
    <customShpInfo spid="_x0000_s1062"/>
    <customShpInfo spid="_x0000_s1063"/>
    <customShpInfo spid="_x0000_s1061"/>
    <customShpInfo spid="_x0000_s1065"/>
    <customShpInfo spid="_x0000_s1066"/>
    <customShpInfo spid="_x0000_s1064"/>
    <customShpInfo spid="_x0000_s1068"/>
    <customShpInfo spid="_x0000_s1069"/>
    <customShpInfo spid="_x0000_s1067"/>
    <customShpInfo spid="_x0000_s1071"/>
    <customShpInfo spid="_x0000_s1072"/>
    <customShpInfo spid="_x0000_s1070"/>
    <customShpInfo spid="_x0000_s1060"/>
    <customShpInfo spid="_x0000_s1058"/>
    <customShpInfo spid="_x0000_s1074"/>
    <customShpInfo spid="_x0000_s1076"/>
    <customShpInfo spid="_x0000_s1077"/>
    <customShpInfo spid="_x0000_s1075"/>
    <customShpInfo spid="_x0000_s1079"/>
    <customShpInfo spid="_x0000_s1080"/>
    <customShpInfo spid="_x0000_s1078"/>
    <customShpInfo spid="_x0000_s1081"/>
    <customShpInfo spid="_x0000_s1073"/>
    <customShpInfo spid="_x0000_s103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59C28F-3817-43E4-956B-537D9F8F2462}">
  <ds:schemaRefs/>
</ds:datastoreItem>
</file>